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68E10" w14:textId="77777777" w:rsidR="00865368" w:rsidRPr="004474CB" w:rsidRDefault="00865368" w:rsidP="004474CB">
      <w:pPr>
        <w:spacing w:line="360" w:lineRule="auto"/>
        <w:jc w:val="both"/>
        <w:rPr>
          <w:rFonts w:ascii="Arial" w:hAnsi="Arial" w:cs="Arial"/>
          <w:b/>
          <w:bCs/>
        </w:rPr>
      </w:pPr>
      <w:r w:rsidRPr="004474CB">
        <w:rPr>
          <w:rFonts w:ascii="Arial" w:hAnsi="Arial" w:cs="Arial"/>
          <w:b/>
          <w:bCs/>
        </w:rPr>
        <w:t>SUPPLEMENTAL FIGURES</w:t>
      </w:r>
    </w:p>
    <w:p w14:paraId="52C4E011" w14:textId="18EF4046" w:rsidR="00865368" w:rsidRPr="004474CB" w:rsidRDefault="00865368" w:rsidP="004474CB">
      <w:pPr>
        <w:spacing w:line="360" w:lineRule="auto"/>
        <w:jc w:val="both"/>
        <w:rPr>
          <w:rFonts w:ascii="Arial" w:hAnsi="Arial" w:cs="Arial"/>
        </w:rPr>
      </w:pPr>
    </w:p>
    <w:p w14:paraId="595A8A13" w14:textId="153147F7" w:rsidR="00F935EC" w:rsidRPr="004474CB" w:rsidRDefault="005C6C36" w:rsidP="004474CB">
      <w:pPr>
        <w:spacing w:line="360" w:lineRule="auto"/>
        <w:jc w:val="both"/>
        <w:rPr>
          <w:rFonts w:ascii="Arial" w:hAnsi="Arial" w:cs="Arial"/>
        </w:rPr>
      </w:pPr>
      <w:r w:rsidRPr="004474CB">
        <w:rPr>
          <w:rFonts w:ascii="Arial" w:hAnsi="Arial" w:cs="Arial"/>
          <w:noProof/>
        </w:rPr>
        <w:drawing>
          <wp:inline distT="0" distB="0" distL="0" distR="0" wp14:anchorId="1EA29038" wp14:editId="6F66875F">
            <wp:extent cx="5689600" cy="243967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r="444"/>
                    <a:stretch/>
                  </pic:blipFill>
                  <pic:spPr bwMode="auto">
                    <a:xfrm>
                      <a:off x="0" y="0"/>
                      <a:ext cx="5689600" cy="2439670"/>
                    </a:xfrm>
                    <a:prstGeom prst="rect">
                      <a:avLst/>
                    </a:prstGeom>
                    <a:ln>
                      <a:noFill/>
                    </a:ln>
                    <a:extLst>
                      <a:ext uri="{53640926-AAD7-44D8-BBD7-CCE9431645EC}">
                        <a14:shadowObscured xmlns:a14="http://schemas.microsoft.com/office/drawing/2010/main"/>
                      </a:ext>
                    </a:extLst>
                  </pic:spPr>
                </pic:pic>
              </a:graphicData>
            </a:graphic>
          </wp:inline>
        </w:drawing>
      </w:r>
    </w:p>
    <w:p w14:paraId="65D4C75D" w14:textId="60E0B9B5" w:rsidR="00F935EC" w:rsidRPr="004474CB" w:rsidRDefault="00865368" w:rsidP="00E820A7">
      <w:pPr>
        <w:pStyle w:val="HTMLPreformatted"/>
        <w:shd w:val="clear" w:color="auto" w:fill="FFFFFF"/>
        <w:jc w:val="both"/>
        <w:rPr>
          <w:rFonts w:ascii="Arial" w:hAnsi="Arial" w:cs="Arial"/>
          <w:color w:val="000000"/>
          <w:sz w:val="24"/>
          <w:szCs w:val="24"/>
        </w:rPr>
      </w:pPr>
      <w:r w:rsidRPr="004474CB">
        <w:rPr>
          <w:rFonts w:ascii="Arial" w:hAnsi="Arial" w:cs="Arial"/>
          <w:b/>
          <w:bCs/>
          <w:sz w:val="24"/>
          <w:szCs w:val="24"/>
        </w:rPr>
        <w:t xml:space="preserve">Figure S1. </w:t>
      </w:r>
      <w:r w:rsidRPr="004474CB">
        <w:rPr>
          <w:rFonts w:ascii="Arial" w:hAnsi="Arial" w:cs="Arial"/>
          <w:b/>
          <w:bCs/>
          <w:i/>
          <w:iCs/>
          <w:sz w:val="24"/>
          <w:szCs w:val="24"/>
        </w:rPr>
        <w:t>F. tularensis</w:t>
      </w:r>
      <w:r w:rsidRPr="004474CB">
        <w:rPr>
          <w:rFonts w:ascii="Arial" w:hAnsi="Arial" w:cs="Arial"/>
          <w:b/>
          <w:bCs/>
          <w:sz w:val="24"/>
          <w:szCs w:val="24"/>
        </w:rPr>
        <w:t xml:space="preserve"> encodes three </w:t>
      </w:r>
      <w:r w:rsidRPr="004474CB">
        <w:rPr>
          <w:rFonts w:ascii="Arial" w:hAnsi="Arial" w:cs="Arial"/>
          <w:b/>
          <w:bCs/>
          <w:i/>
          <w:iCs/>
          <w:sz w:val="24"/>
          <w:szCs w:val="24"/>
        </w:rPr>
        <w:t>rpsU</w:t>
      </w:r>
      <w:r w:rsidRPr="004474CB">
        <w:rPr>
          <w:rFonts w:ascii="Arial" w:hAnsi="Arial" w:cs="Arial"/>
          <w:b/>
          <w:bCs/>
          <w:sz w:val="24"/>
          <w:szCs w:val="24"/>
        </w:rPr>
        <w:t xml:space="preserve"> genes. </w:t>
      </w:r>
      <w:r w:rsidRPr="004474CB">
        <w:rPr>
          <w:rFonts w:ascii="Arial" w:hAnsi="Arial" w:cs="Arial"/>
          <w:i/>
          <w:iCs/>
          <w:color w:val="000000"/>
          <w:sz w:val="24"/>
          <w:szCs w:val="24"/>
        </w:rPr>
        <w:t>F. tularensis</w:t>
      </w:r>
      <w:r w:rsidRPr="004474CB">
        <w:rPr>
          <w:rFonts w:ascii="Arial" w:hAnsi="Arial" w:cs="Arial"/>
          <w:color w:val="000000"/>
          <w:sz w:val="24"/>
          <w:szCs w:val="24"/>
        </w:rPr>
        <w:t xml:space="preserve"> </w:t>
      </w:r>
      <w:r w:rsidRPr="004474CB">
        <w:rPr>
          <w:rFonts w:ascii="Arial" w:hAnsi="Arial" w:cs="Arial"/>
          <w:i/>
          <w:iCs/>
          <w:color w:val="000000"/>
          <w:sz w:val="24"/>
          <w:szCs w:val="24"/>
        </w:rPr>
        <w:t>rpsU2</w:t>
      </w:r>
      <w:r w:rsidRPr="004474CB">
        <w:rPr>
          <w:rFonts w:ascii="Arial" w:hAnsi="Arial" w:cs="Arial"/>
          <w:color w:val="000000"/>
          <w:sz w:val="24"/>
          <w:szCs w:val="24"/>
        </w:rPr>
        <w:t xml:space="preserve">, which encodes bS21-2, is syntenic with the only </w:t>
      </w:r>
      <w:r w:rsidRPr="004474CB">
        <w:rPr>
          <w:rFonts w:ascii="Arial" w:hAnsi="Arial" w:cs="Arial"/>
          <w:i/>
          <w:iCs/>
          <w:color w:val="000000"/>
          <w:sz w:val="24"/>
          <w:szCs w:val="24"/>
        </w:rPr>
        <w:t>rpsU</w:t>
      </w:r>
      <w:r w:rsidRPr="004474CB">
        <w:rPr>
          <w:rFonts w:ascii="Arial" w:hAnsi="Arial" w:cs="Arial"/>
          <w:color w:val="000000"/>
          <w:sz w:val="24"/>
          <w:szCs w:val="24"/>
        </w:rPr>
        <w:t xml:space="preserve"> in </w:t>
      </w:r>
      <w:r w:rsidRPr="004474CB">
        <w:rPr>
          <w:rFonts w:ascii="Arial" w:hAnsi="Arial" w:cs="Arial"/>
          <w:i/>
          <w:iCs/>
          <w:color w:val="000000"/>
          <w:sz w:val="24"/>
          <w:szCs w:val="24"/>
        </w:rPr>
        <w:t>E. coli</w:t>
      </w:r>
      <w:r w:rsidRPr="004474CB">
        <w:rPr>
          <w:rFonts w:ascii="Arial" w:hAnsi="Arial" w:cs="Arial"/>
          <w:color w:val="000000"/>
          <w:sz w:val="24"/>
          <w:szCs w:val="24"/>
        </w:rPr>
        <w:t xml:space="preserve">, which is located in the macromolecular synthesis operon </w:t>
      </w:r>
      <w:sdt>
        <w:sdtPr>
          <w:rPr>
            <w:rFonts w:ascii="Arial" w:hAnsi="Arial" w:cs="Arial"/>
            <w:color w:val="000000"/>
            <w:sz w:val="24"/>
            <w:szCs w:val="24"/>
          </w:rPr>
          <w:alias w:val="SmartCite Citation"/>
          <w:tag w:val="b6229a10-d553-43e8-9147-3d76fdcbf37f:a29bb1bc-23ad-4588-be74-1eb8a580ecdb+"/>
          <w:id w:val="-1321419149"/>
          <w:placeholder>
            <w:docPart w:val="C1DCE7095AADAA4A8BD54DA532BDD0F5"/>
          </w:placeholder>
        </w:sdtPr>
        <w:sdtContent>
          <w:r w:rsidRPr="004474CB">
            <w:rPr>
              <w:rFonts w:ascii="Arial" w:hAnsi="Arial" w:cs="Arial"/>
              <w:color w:val="000000"/>
              <w:sz w:val="24"/>
            </w:rPr>
            <w:t>(</w:t>
          </w:r>
          <w:r w:rsidR="00B8558A" w:rsidRPr="004474CB">
            <w:rPr>
              <w:rFonts w:ascii="Arial" w:hAnsi="Arial" w:cs="Arial"/>
              <w:color w:val="000000"/>
              <w:sz w:val="24"/>
            </w:rPr>
            <w:t>1</w:t>
          </w:r>
          <w:r w:rsidRPr="004474CB">
            <w:rPr>
              <w:rFonts w:ascii="Arial" w:hAnsi="Arial" w:cs="Arial"/>
              <w:color w:val="000000"/>
              <w:sz w:val="24"/>
            </w:rPr>
            <w:t>)</w:t>
          </w:r>
        </w:sdtContent>
      </w:sdt>
      <w:r w:rsidRPr="004474CB">
        <w:rPr>
          <w:rFonts w:ascii="Arial" w:hAnsi="Arial" w:cs="Arial"/>
          <w:color w:val="000000"/>
          <w:sz w:val="24"/>
          <w:szCs w:val="24"/>
        </w:rPr>
        <w:t xml:space="preserve">. This operon in </w:t>
      </w:r>
      <w:r w:rsidRPr="004474CB">
        <w:rPr>
          <w:rFonts w:ascii="Arial" w:hAnsi="Arial" w:cs="Arial"/>
          <w:i/>
          <w:iCs/>
          <w:color w:val="000000"/>
          <w:sz w:val="24"/>
          <w:szCs w:val="24"/>
        </w:rPr>
        <w:t>E. coli</w:t>
      </w:r>
      <w:r w:rsidRPr="004474CB">
        <w:rPr>
          <w:rFonts w:ascii="Arial" w:hAnsi="Arial" w:cs="Arial"/>
          <w:color w:val="000000"/>
          <w:sz w:val="24"/>
          <w:szCs w:val="24"/>
        </w:rPr>
        <w:t xml:space="preserve"> includes </w:t>
      </w:r>
      <w:r w:rsidRPr="004474CB">
        <w:rPr>
          <w:rFonts w:ascii="Arial" w:hAnsi="Arial" w:cs="Arial"/>
          <w:i/>
          <w:iCs/>
          <w:color w:val="000000"/>
          <w:sz w:val="24"/>
          <w:szCs w:val="24"/>
        </w:rPr>
        <w:t>rpsU</w:t>
      </w:r>
      <w:r w:rsidRPr="004474CB">
        <w:rPr>
          <w:rFonts w:ascii="Arial" w:hAnsi="Arial" w:cs="Arial"/>
          <w:color w:val="000000"/>
          <w:sz w:val="24"/>
          <w:szCs w:val="24"/>
        </w:rPr>
        <w:t xml:space="preserve"> (encoding bS21), </w:t>
      </w:r>
      <w:r w:rsidRPr="004474CB">
        <w:rPr>
          <w:rFonts w:ascii="Arial" w:hAnsi="Arial" w:cs="Arial"/>
          <w:i/>
          <w:iCs/>
          <w:color w:val="000000"/>
          <w:sz w:val="24"/>
          <w:szCs w:val="24"/>
        </w:rPr>
        <w:t>dnaG</w:t>
      </w:r>
      <w:r w:rsidRPr="004474CB">
        <w:rPr>
          <w:rFonts w:ascii="Arial" w:hAnsi="Arial" w:cs="Arial"/>
          <w:color w:val="000000"/>
          <w:sz w:val="24"/>
          <w:szCs w:val="24"/>
        </w:rPr>
        <w:t xml:space="preserve"> (encoding DNA primase), and </w:t>
      </w:r>
      <w:r w:rsidRPr="004474CB">
        <w:rPr>
          <w:rFonts w:ascii="Arial" w:hAnsi="Arial" w:cs="Arial"/>
          <w:i/>
          <w:iCs/>
          <w:color w:val="000000"/>
          <w:sz w:val="24"/>
          <w:szCs w:val="24"/>
        </w:rPr>
        <w:t xml:space="preserve">rpoD </w:t>
      </w:r>
      <w:r w:rsidRPr="004474CB">
        <w:rPr>
          <w:rFonts w:ascii="Arial" w:hAnsi="Arial" w:cs="Arial"/>
          <w:color w:val="000000"/>
          <w:sz w:val="24"/>
          <w:szCs w:val="24"/>
        </w:rPr>
        <w:t xml:space="preserve">(encoding RNA polymerase </w:t>
      </w:r>
      <w:r w:rsidRPr="004474CB">
        <w:rPr>
          <w:rFonts w:ascii="Cambria Math" w:hAnsi="Cambria Math" w:cs="Cambria Math"/>
          <w:color w:val="000000"/>
          <w:sz w:val="24"/>
          <w:szCs w:val="24"/>
        </w:rPr>
        <w:t>𝜎</w:t>
      </w:r>
      <w:r w:rsidRPr="004474CB">
        <w:rPr>
          <w:rFonts w:ascii="Arial" w:hAnsi="Arial" w:cs="Arial"/>
          <w:color w:val="000000"/>
          <w:sz w:val="24"/>
          <w:szCs w:val="24"/>
          <w:vertAlign w:val="superscript"/>
        </w:rPr>
        <w:t>70</w:t>
      </w:r>
      <w:r w:rsidRPr="004474CB">
        <w:rPr>
          <w:rFonts w:ascii="Arial" w:hAnsi="Arial" w:cs="Arial"/>
          <w:color w:val="000000"/>
          <w:sz w:val="24"/>
          <w:szCs w:val="24"/>
        </w:rPr>
        <w:t xml:space="preserve">). In </w:t>
      </w:r>
      <w:r w:rsidRPr="004474CB">
        <w:rPr>
          <w:rFonts w:ascii="Arial" w:hAnsi="Arial" w:cs="Arial"/>
          <w:i/>
          <w:iCs/>
          <w:color w:val="000000"/>
          <w:sz w:val="24"/>
          <w:szCs w:val="24"/>
        </w:rPr>
        <w:t>F. tularensis</w:t>
      </w:r>
      <w:r w:rsidRPr="004474CB">
        <w:rPr>
          <w:rFonts w:ascii="Arial" w:hAnsi="Arial" w:cs="Arial"/>
          <w:color w:val="000000"/>
          <w:sz w:val="24"/>
          <w:szCs w:val="24"/>
        </w:rPr>
        <w:t xml:space="preserve">, this operon also includes </w:t>
      </w:r>
      <w:r w:rsidRPr="004474CB">
        <w:rPr>
          <w:rFonts w:ascii="Arial" w:hAnsi="Arial" w:cs="Arial"/>
          <w:i/>
          <w:iCs/>
          <w:color w:val="000000"/>
          <w:sz w:val="24"/>
          <w:szCs w:val="24"/>
        </w:rPr>
        <w:t>yqeY</w:t>
      </w:r>
      <w:r w:rsidRPr="004474CB">
        <w:rPr>
          <w:rFonts w:ascii="Arial" w:hAnsi="Arial" w:cs="Arial"/>
          <w:color w:val="000000"/>
          <w:sz w:val="24"/>
          <w:szCs w:val="24"/>
        </w:rPr>
        <w:t xml:space="preserve">, the product of which may be involved in tRNA aminoacylation. </w:t>
      </w:r>
      <w:r w:rsidRPr="004474CB">
        <w:rPr>
          <w:rFonts w:ascii="Arial" w:hAnsi="Arial" w:cs="Arial"/>
          <w:i/>
          <w:iCs/>
          <w:color w:val="000000"/>
          <w:sz w:val="24"/>
          <w:szCs w:val="24"/>
        </w:rPr>
        <w:t>rpsU1</w:t>
      </w:r>
      <w:r w:rsidRPr="004474CB">
        <w:rPr>
          <w:rFonts w:ascii="Arial" w:hAnsi="Arial" w:cs="Arial"/>
          <w:color w:val="000000"/>
          <w:sz w:val="24"/>
          <w:szCs w:val="24"/>
        </w:rPr>
        <w:t xml:space="preserve">, encoding bS21-1, is located immediately downstream of </w:t>
      </w:r>
      <w:r w:rsidRPr="004474CB">
        <w:rPr>
          <w:rFonts w:ascii="Arial" w:hAnsi="Arial" w:cs="Arial"/>
          <w:i/>
          <w:iCs/>
          <w:color w:val="000000"/>
          <w:sz w:val="24"/>
          <w:szCs w:val="24"/>
        </w:rPr>
        <w:t>cspC</w:t>
      </w:r>
      <w:r w:rsidRPr="004474CB">
        <w:rPr>
          <w:rFonts w:ascii="Arial" w:hAnsi="Arial" w:cs="Arial"/>
          <w:color w:val="000000"/>
          <w:sz w:val="24"/>
          <w:szCs w:val="24"/>
        </w:rPr>
        <w:t xml:space="preserve"> (encoding cold-shock protein CspC), while </w:t>
      </w:r>
      <w:r w:rsidRPr="004474CB">
        <w:rPr>
          <w:rFonts w:ascii="Arial" w:hAnsi="Arial" w:cs="Arial"/>
          <w:i/>
          <w:iCs/>
          <w:color w:val="000000"/>
          <w:sz w:val="24"/>
          <w:szCs w:val="24"/>
        </w:rPr>
        <w:t>rpsU3</w:t>
      </w:r>
      <w:r w:rsidRPr="004474CB">
        <w:rPr>
          <w:rFonts w:ascii="Arial" w:hAnsi="Arial" w:cs="Arial"/>
          <w:color w:val="000000"/>
          <w:sz w:val="24"/>
          <w:szCs w:val="24"/>
        </w:rPr>
        <w:t xml:space="preserve">, encoding bS21-3, is not apparently in an operon with other genes. </w:t>
      </w:r>
      <w:r w:rsidRPr="004474CB">
        <w:rPr>
          <w:rFonts w:ascii="Arial" w:hAnsi="Arial" w:cs="Arial"/>
          <w:sz w:val="24"/>
          <w:szCs w:val="24"/>
        </w:rPr>
        <w:t xml:space="preserve">Genomic locations of </w:t>
      </w:r>
      <w:r w:rsidRPr="004474CB">
        <w:rPr>
          <w:rFonts w:ascii="Arial" w:hAnsi="Arial" w:cs="Arial"/>
          <w:i/>
          <w:iCs/>
          <w:sz w:val="24"/>
          <w:szCs w:val="24"/>
        </w:rPr>
        <w:t>rpsU</w:t>
      </w:r>
      <w:r w:rsidRPr="004474CB">
        <w:rPr>
          <w:rFonts w:ascii="Arial" w:hAnsi="Arial" w:cs="Arial"/>
          <w:sz w:val="24"/>
          <w:szCs w:val="24"/>
        </w:rPr>
        <w:t xml:space="preserve"> genes were determined using RefSeq </w:t>
      </w:r>
      <w:r w:rsidRPr="004474CB">
        <w:rPr>
          <w:rFonts w:ascii="Arial" w:hAnsi="Arial" w:cs="Arial"/>
          <w:color w:val="000000"/>
          <w:sz w:val="24"/>
          <w:szCs w:val="24"/>
        </w:rPr>
        <w:t xml:space="preserve">NC_007880 for </w:t>
      </w:r>
      <w:r w:rsidRPr="004474CB">
        <w:rPr>
          <w:rFonts w:ascii="Arial" w:hAnsi="Arial" w:cs="Arial"/>
          <w:i/>
          <w:iCs/>
          <w:color w:val="000000"/>
          <w:sz w:val="24"/>
          <w:szCs w:val="24"/>
        </w:rPr>
        <w:t>F. tularensis</w:t>
      </w:r>
      <w:r w:rsidRPr="004474CB">
        <w:rPr>
          <w:rFonts w:ascii="Arial" w:hAnsi="Arial" w:cs="Arial"/>
          <w:color w:val="000000"/>
          <w:sz w:val="24"/>
          <w:szCs w:val="24"/>
        </w:rPr>
        <w:t xml:space="preserve"> and </w:t>
      </w:r>
      <w:hyperlink r:id="rId5" w:history="1">
        <w:r w:rsidRPr="004474CB">
          <w:rPr>
            <w:rFonts w:ascii="Arial" w:hAnsi="Arial" w:cs="Arial"/>
            <w:sz w:val="24"/>
            <w:szCs w:val="24"/>
          </w:rPr>
          <w:t>NC_000913</w:t>
        </w:r>
      </w:hyperlink>
      <w:r w:rsidRPr="004474CB">
        <w:rPr>
          <w:rFonts w:ascii="Arial" w:hAnsi="Arial" w:cs="Arial"/>
          <w:color w:val="000000"/>
          <w:sz w:val="24"/>
          <w:szCs w:val="24"/>
        </w:rPr>
        <w:t xml:space="preserve"> for </w:t>
      </w:r>
      <w:r w:rsidRPr="004474CB">
        <w:rPr>
          <w:rFonts w:ascii="Arial" w:hAnsi="Arial" w:cs="Arial"/>
          <w:i/>
          <w:iCs/>
          <w:color w:val="000000"/>
          <w:sz w:val="24"/>
          <w:szCs w:val="24"/>
        </w:rPr>
        <w:t>E. coli</w:t>
      </w:r>
      <w:r w:rsidRPr="004474CB">
        <w:rPr>
          <w:rFonts w:ascii="Arial" w:hAnsi="Arial" w:cs="Arial"/>
          <w:color w:val="000000"/>
          <w:sz w:val="24"/>
          <w:szCs w:val="24"/>
        </w:rPr>
        <w:t xml:space="preserve">. </w:t>
      </w:r>
    </w:p>
    <w:p w14:paraId="28414EE4" w14:textId="77777777" w:rsidR="00F935EC" w:rsidRPr="004474CB" w:rsidRDefault="00F935EC" w:rsidP="004474CB">
      <w:pPr>
        <w:jc w:val="both"/>
        <w:rPr>
          <w:rFonts w:ascii="Arial" w:eastAsia="Times New Roman" w:hAnsi="Arial" w:cs="Arial"/>
          <w:color w:val="000000"/>
        </w:rPr>
      </w:pPr>
      <w:r w:rsidRPr="004474CB">
        <w:rPr>
          <w:rFonts w:ascii="Arial" w:hAnsi="Arial" w:cs="Arial"/>
          <w:color w:val="000000"/>
        </w:rPr>
        <w:br w:type="page"/>
      </w:r>
    </w:p>
    <w:p w14:paraId="249E1D8F" w14:textId="77777777" w:rsidR="00865368" w:rsidRPr="004474CB" w:rsidRDefault="00865368" w:rsidP="004474CB">
      <w:pPr>
        <w:pStyle w:val="HTMLPreformatted"/>
        <w:shd w:val="clear" w:color="auto" w:fill="FFFFFF"/>
        <w:spacing w:line="360" w:lineRule="auto"/>
        <w:jc w:val="both"/>
        <w:rPr>
          <w:rFonts w:ascii="Arial" w:hAnsi="Arial" w:cs="Arial"/>
          <w:color w:val="000000"/>
          <w:sz w:val="24"/>
          <w:szCs w:val="24"/>
        </w:rPr>
      </w:pPr>
    </w:p>
    <w:p w14:paraId="2EF116CC" w14:textId="49F6F962" w:rsidR="00865368" w:rsidRPr="004474CB" w:rsidRDefault="005C6C36" w:rsidP="004474CB">
      <w:pPr>
        <w:spacing w:line="360" w:lineRule="auto"/>
        <w:jc w:val="both"/>
        <w:rPr>
          <w:rFonts w:ascii="Arial" w:hAnsi="Arial" w:cs="Arial"/>
        </w:rPr>
      </w:pPr>
      <w:r w:rsidRPr="004474CB">
        <w:rPr>
          <w:rFonts w:ascii="Arial" w:hAnsi="Arial" w:cs="Arial"/>
          <w:noProof/>
        </w:rPr>
        <w:drawing>
          <wp:inline distT="0" distB="0" distL="0" distR="0" wp14:anchorId="22CA08C8" wp14:editId="7DF098DF">
            <wp:extent cx="5715000" cy="21634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15000" cy="2163445"/>
                    </a:xfrm>
                    <a:prstGeom prst="rect">
                      <a:avLst/>
                    </a:prstGeom>
                  </pic:spPr>
                </pic:pic>
              </a:graphicData>
            </a:graphic>
          </wp:inline>
        </w:drawing>
      </w:r>
    </w:p>
    <w:p w14:paraId="72046C0B" w14:textId="209CEBF7" w:rsidR="00F935EC" w:rsidRPr="004474CB" w:rsidRDefault="00865368" w:rsidP="00E820A7">
      <w:pPr>
        <w:jc w:val="both"/>
        <w:rPr>
          <w:rFonts w:ascii="Arial" w:hAnsi="Arial" w:cs="Arial"/>
        </w:rPr>
      </w:pPr>
      <w:r w:rsidRPr="004474CB">
        <w:rPr>
          <w:rFonts w:ascii="Arial" w:hAnsi="Arial" w:cs="Arial"/>
          <w:b/>
          <w:bCs/>
        </w:rPr>
        <w:t xml:space="preserve">Figure S2. The three bS21 homologs in </w:t>
      </w:r>
      <w:r w:rsidRPr="004474CB">
        <w:rPr>
          <w:rFonts w:ascii="Arial" w:hAnsi="Arial" w:cs="Arial"/>
          <w:b/>
          <w:bCs/>
          <w:i/>
          <w:iCs/>
        </w:rPr>
        <w:t xml:space="preserve">F. tularensis </w:t>
      </w:r>
      <w:r w:rsidRPr="004474CB">
        <w:rPr>
          <w:rFonts w:ascii="Arial" w:hAnsi="Arial" w:cs="Arial"/>
          <w:b/>
          <w:bCs/>
        </w:rPr>
        <w:t xml:space="preserve">are distinct. </w:t>
      </w:r>
      <w:r w:rsidRPr="004474CB">
        <w:rPr>
          <w:rFonts w:ascii="Arial" w:hAnsi="Arial" w:cs="Arial"/>
        </w:rPr>
        <w:t xml:space="preserve">Percent identities of amino acid sequences for </w:t>
      </w:r>
      <w:r w:rsidRPr="004474CB">
        <w:rPr>
          <w:rFonts w:ascii="Arial" w:hAnsi="Arial" w:cs="Arial"/>
          <w:i/>
          <w:iCs/>
        </w:rPr>
        <w:t>F. tularensis</w:t>
      </w:r>
      <w:r w:rsidRPr="004474CB">
        <w:rPr>
          <w:rFonts w:ascii="Arial" w:hAnsi="Arial" w:cs="Arial"/>
        </w:rPr>
        <w:t xml:space="preserve"> LVS bS21-1, bS21-2, bS21-3 and </w:t>
      </w:r>
      <w:r w:rsidRPr="004474CB">
        <w:rPr>
          <w:rFonts w:ascii="Arial" w:hAnsi="Arial" w:cs="Arial"/>
          <w:i/>
          <w:iCs/>
        </w:rPr>
        <w:t>E. coli</w:t>
      </w:r>
      <w:r w:rsidRPr="004474CB">
        <w:rPr>
          <w:rFonts w:ascii="Arial" w:hAnsi="Arial" w:cs="Arial"/>
        </w:rPr>
        <w:t xml:space="preserve"> bS21 were calculated using the multiple sequence alignment tool ClustalOmega </w:t>
      </w:r>
      <w:sdt>
        <w:sdtPr>
          <w:rPr>
            <w:rFonts w:ascii="Arial" w:hAnsi="Arial" w:cs="Arial"/>
          </w:rPr>
          <w:alias w:val="SmartCite Citation"/>
          <w:tag w:val="b6229a10-d553-43e8-9147-3d76fdcbf37f:4635df4e-44fc-443f-a0a8-61d7c6cbc204+"/>
          <w:id w:val="-963882864"/>
          <w:placeholder>
            <w:docPart w:val="C1DCE7095AADAA4A8BD54DA532BDD0F5"/>
          </w:placeholder>
        </w:sdtPr>
        <w:sdtContent>
          <w:r w:rsidRPr="004474CB">
            <w:rPr>
              <w:rFonts w:ascii="Arial" w:eastAsia="Times New Roman" w:hAnsi="Arial" w:cs="Arial"/>
              <w:color w:val="000000"/>
            </w:rPr>
            <w:t>(</w:t>
          </w:r>
          <w:r w:rsidR="00B8558A" w:rsidRPr="004474CB">
            <w:rPr>
              <w:rFonts w:ascii="Arial" w:eastAsia="Times New Roman" w:hAnsi="Arial" w:cs="Arial"/>
              <w:color w:val="000000"/>
            </w:rPr>
            <w:t>2</w:t>
          </w:r>
          <w:r w:rsidRPr="004474CB">
            <w:rPr>
              <w:rFonts w:ascii="Arial" w:eastAsia="Times New Roman" w:hAnsi="Arial" w:cs="Arial"/>
              <w:color w:val="000000"/>
            </w:rPr>
            <w:t>)</w:t>
          </w:r>
        </w:sdtContent>
      </w:sdt>
      <w:r w:rsidRPr="004474CB">
        <w:rPr>
          <w:rFonts w:ascii="Arial" w:hAnsi="Arial" w:cs="Arial"/>
        </w:rPr>
        <w:t xml:space="preserve">. The bS21 homologs in </w:t>
      </w:r>
      <w:r w:rsidRPr="004474CB">
        <w:rPr>
          <w:rFonts w:ascii="Arial" w:hAnsi="Arial" w:cs="Arial"/>
          <w:i/>
          <w:iCs/>
        </w:rPr>
        <w:t xml:space="preserve">F. tularensis </w:t>
      </w:r>
      <w:r w:rsidRPr="004474CB">
        <w:rPr>
          <w:rFonts w:ascii="Arial" w:hAnsi="Arial" w:cs="Arial"/>
        </w:rPr>
        <w:t xml:space="preserve">are similar to each other, particularly bS21-1 and bS21-3 which are 72% identical at the amino acid level. bS21-2, encoded by the </w:t>
      </w:r>
      <w:r w:rsidRPr="004474CB">
        <w:rPr>
          <w:rFonts w:ascii="Arial" w:hAnsi="Arial" w:cs="Arial"/>
          <w:i/>
          <w:iCs/>
        </w:rPr>
        <w:t>rpsU</w:t>
      </w:r>
      <w:r w:rsidRPr="004474CB">
        <w:rPr>
          <w:rFonts w:ascii="Arial" w:hAnsi="Arial" w:cs="Arial"/>
        </w:rPr>
        <w:t xml:space="preserve"> homolog gene syntenic to the single </w:t>
      </w:r>
      <w:r w:rsidRPr="004474CB">
        <w:rPr>
          <w:rFonts w:ascii="Arial" w:hAnsi="Arial" w:cs="Arial"/>
          <w:i/>
          <w:iCs/>
        </w:rPr>
        <w:t>E. coli</w:t>
      </w:r>
      <w:r w:rsidRPr="004474CB">
        <w:rPr>
          <w:rFonts w:ascii="Arial" w:hAnsi="Arial" w:cs="Arial"/>
        </w:rPr>
        <w:t xml:space="preserve"> </w:t>
      </w:r>
      <w:r w:rsidRPr="004474CB">
        <w:rPr>
          <w:rFonts w:ascii="Arial" w:hAnsi="Arial" w:cs="Arial"/>
          <w:i/>
          <w:iCs/>
        </w:rPr>
        <w:t>rpsU</w:t>
      </w:r>
      <w:r w:rsidRPr="004474CB">
        <w:rPr>
          <w:rFonts w:ascii="Arial" w:hAnsi="Arial" w:cs="Arial"/>
        </w:rPr>
        <w:t xml:space="preserve"> gene, is also the most similar to </w:t>
      </w:r>
      <w:r w:rsidRPr="004474CB">
        <w:rPr>
          <w:rFonts w:ascii="Arial" w:hAnsi="Arial" w:cs="Arial"/>
          <w:i/>
          <w:iCs/>
        </w:rPr>
        <w:t xml:space="preserve">E. coli </w:t>
      </w:r>
      <w:r w:rsidRPr="004474CB">
        <w:rPr>
          <w:rFonts w:ascii="Arial" w:hAnsi="Arial" w:cs="Arial"/>
        </w:rPr>
        <w:t>bS21, with 60% amino acid identity.</w:t>
      </w:r>
    </w:p>
    <w:p w14:paraId="3F1518E7" w14:textId="77777777" w:rsidR="00F935EC" w:rsidRPr="004474CB" w:rsidRDefault="00F935EC" w:rsidP="004474CB">
      <w:pPr>
        <w:jc w:val="both"/>
        <w:rPr>
          <w:rFonts w:ascii="Arial" w:hAnsi="Arial" w:cs="Arial"/>
        </w:rPr>
      </w:pPr>
      <w:r w:rsidRPr="004474CB">
        <w:rPr>
          <w:rFonts w:ascii="Arial" w:hAnsi="Arial" w:cs="Arial"/>
        </w:rPr>
        <w:br w:type="page"/>
      </w:r>
    </w:p>
    <w:p w14:paraId="2EB1DD54" w14:textId="7EEA19F2" w:rsidR="00865368" w:rsidRPr="004474CB" w:rsidRDefault="005C6C36" w:rsidP="004474CB">
      <w:pPr>
        <w:spacing w:line="360" w:lineRule="auto"/>
        <w:jc w:val="both"/>
        <w:rPr>
          <w:rFonts w:ascii="Arial" w:hAnsi="Arial" w:cs="Arial"/>
        </w:rPr>
      </w:pPr>
      <w:r w:rsidRPr="004474CB">
        <w:rPr>
          <w:rFonts w:ascii="Arial" w:hAnsi="Arial" w:cs="Arial"/>
          <w:noProof/>
        </w:rPr>
        <w:lastRenderedPageBreak/>
        <w:drawing>
          <wp:inline distT="0" distB="0" distL="0" distR="0" wp14:anchorId="75F2651A" wp14:editId="52200583">
            <wp:extent cx="5700932" cy="48317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46"/>
                    <a:stretch/>
                  </pic:blipFill>
                  <pic:spPr bwMode="auto">
                    <a:xfrm>
                      <a:off x="0" y="0"/>
                      <a:ext cx="5700932" cy="4831715"/>
                    </a:xfrm>
                    <a:prstGeom prst="rect">
                      <a:avLst/>
                    </a:prstGeom>
                    <a:ln>
                      <a:noFill/>
                    </a:ln>
                    <a:extLst>
                      <a:ext uri="{53640926-AAD7-44D8-BBD7-CCE9431645EC}">
                        <a14:shadowObscured xmlns:a14="http://schemas.microsoft.com/office/drawing/2010/main"/>
                      </a:ext>
                    </a:extLst>
                  </pic:spPr>
                </pic:pic>
              </a:graphicData>
            </a:graphic>
          </wp:inline>
        </w:drawing>
      </w:r>
    </w:p>
    <w:p w14:paraId="64390C40" w14:textId="6E6AF419" w:rsidR="00F935EC" w:rsidRPr="004474CB" w:rsidRDefault="00865368" w:rsidP="00E820A7">
      <w:pPr>
        <w:jc w:val="both"/>
        <w:rPr>
          <w:rFonts w:ascii="Arial" w:hAnsi="Arial" w:cs="Arial"/>
        </w:rPr>
      </w:pPr>
      <w:r w:rsidRPr="004474CB">
        <w:rPr>
          <w:rFonts w:ascii="Arial" w:hAnsi="Arial" w:cs="Arial"/>
          <w:b/>
          <w:bCs/>
        </w:rPr>
        <w:t xml:space="preserve">Figure S3. Each bS21 homolog can be detected in translationally-active ribosomes. </w:t>
      </w:r>
      <w:r w:rsidRPr="004474CB">
        <w:rPr>
          <w:rFonts w:ascii="Arial" w:hAnsi="Arial" w:cs="Arial"/>
        </w:rPr>
        <w:t xml:space="preserve">For </w:t>
      </w:r>
      <w:r w:rsidRPr="004474CB">
        <w:rPr>
          <w:rFonts w:ascii="Arial" w:hAnsi="Arial" w:cs="Arial"/>
          <w:b/>
          <w:bCs/>
        </w:rPr>
        <w:t>A – D</w:t>
      </w:r>
      <w:r w:rsidRPr="004474CB">
        <w:rPr>
          <w:rFonts w:ascii="Arial" w:hAnsi="Arial" w:cs="Arial"/>
        </w:rPr>
        <w:t xml:space="preserve">, top: </w:t>
      </w:r>
      <w:r w:rsidRPr="004474CB">
        <w:rPr>
          <w:rFonts w:ascii="Arial" w:eastAsia="Times New Roman" w:hAnsi="Arial" w:cs="Arial"/>
        </w:rPr>
        <w:t xml:space="preserve">Sucrose gradient sedimentation </w:t>
      </w:r>
      <w:r w:rsidRPr="004474CB">
        <w:rPr>
          <w:rFonts w:ascii="Arial" w:hAnsi="Arial" w:cs="Arial"/>
        </w:rPr>
        <w:t xml:space="preserve">profile from actively-translating wild-type </w:t>
      </w:r>
      <w:r w:rsidRPr="004474CB">
        <w:rPr>
          <w:rFonts w:ascii="Arial" w:hAnsi="Arial" w:cs="Arial"/>
          <w:i/>
          <w:iCs/>
        </w:rPr>
        <w:t>F. tularensis</w:t>
      </w:r>
      <w:r w:rsidRPr="004474CB">
        <w:rPr>
          <w:rFonts w:ascii="Arial" w:hAnsi="Arial" w:cs="Arial"/>
        </w:rPr>
        <w:t xml:space="preserve"> cells with either empty vector or ectopic expression of indicated bS21 homolog. Nucleic acid content was monitored by A260 (y-axis). Peaks corresponding to the 30S, 50S, 70S, and polysomes are indicated. Fractions collected are indicated on the x-axis. For </w:t>
      </w:r>
      <w:r w:rsidRPr="004474CB">
        <w:rPr>
          <w:rFonts w:ascii="Arial" w:hAnsi="Arial" w:cs="Arial"/>
          <w:b/>
          <w:bCs/>
        </w:rPr>
        <w:t>A – D</w:t>
      </w:r>
      <w:r w:rsidRPr="004474CB">
        <w:rPr>
          <w:rFonts w:ascii="Arial" w:hAnsi="Arial" w:cs="Arial"/>
        </w:rPr>
        <w:t xml:space="preserve">, bottom: Immunoblot analysis of fractions from sucrose gradient sedimentation (above), probing for VSV-G. Wells correspond to fractions 1 – 21 from profile above. </w:t>
      </w:r>
      <w:r w:rsidRPr="004474CB">
        <w:rPr>
          <w:rFonts w:ascii="Arial" w:hAnsi="Arial" w:cs="Arial"/>
          <w:b/>
          <w:bCs/>
        </w:rPr>
        <w:t>A.</w:t>
      </w:r>
      <w:r w:rsidRPr="004474CB">
        <w:rPr>
          <w:rFonts w:ascii="Arial" w:hAnsi="Arial" w:cs="Arial"/>
        </w:rPr>
        <w:t xml:space="preserve"> Cells from wild-type </w:t>
      </w:r>
      <w:r w:rsidRPr="004474CB">
        <w:rPr>
          <w:rFonts w:ascii="Arial" w:hAnsi="Arial" w:cs="Arial"/>
          <w:i/>
          <w:iCs/>
        </w:rPr>
        <w:t>F. tularensis</w:t>
      </w:r>
      <w:r w:rsidRPr="004474CB">
        <w:rPr>
          <w:rFonts w:ascii="Arial" w:hAnsi="Arial" w:cs="Arial"/>
        </w:rPr>
        <w:t xml:space="preserve"> LVS with empty vector (LVS pF). </w:t>
      </w:r>
      <w:r w:rsidRPr="004474CB">
        <w:rPr>
          <w:rFonts w:ascii="Arial" w:hAnsi="Arial" w:cs="Arial"/>
          <w:b/>
          <w:bCs/>
        </w:rPr>
        <w:t>B.</w:t>
      </w:r>
      <w:r w:rsidRPr="004474CB">
        <w:rPr>
          <w:rFonts w:ascii="Arial" w:hAnsi="Arial" w:cs="Arial"/>
        </w:rPr>
        <w:t xml:space="preserve"> Cells from wild-type </w:t>
      </w:r>
      <w:r w:rsidRPr="004474CB">
        <w:rPr>
          <w:rFonts w:ascii="Arial" w:hAnsi="Arial" w:cs="Arial"/>
          <w:i/>
          <w:iCs/>
        </w:rPr>
        <w:t>F. tularensis</w:t>
      </w:r>
      <w:r w:rsidRPr="004474CB">
        <w:rPr>
          <w:rFonts w:ascii="Arial" w:hAnsi="Arial" w:cs="Arial"/>
        </w:rPr>
        <w:t xml:space="preserve"> LVS with ectopic expression of bS21-1 (LVS pF-bS21-1-V). </w:t>
      </w:r>
      <w:r w:rsidRPr="004474CB">
        <w:rPr>
          <w:rFonts w:ascii="Arial" w:hAnsi="Arial" w:cs="Arial"/>
          <w:b/>
          <w:bCs/>
        </w:rPr>
        <w:t>C.</w:t>
      </w:r>
      <w:r w:rsidRPr="004474CB">
        <w:rPr>
          <w:rFonts w:ascii="Arial" w:hAnsi="Arial" w:cs="Arial"/>
        </w:rPr>
        <w:t xml:space="preserve"> Cells from wild-type </w:t>
      </w:r>
      <w:r w:rsidRPr="004474CB">
        <w:rPr>
          <w:rFonts w:ascii="Arial" w:hAnsi="Arial" w:cs="Arial"/>
          <w:i/>
          <w:iCs/>
        </w:rPr>
        <w:t>F. tularensis</w:t>
      </w:r>
      <w:r w:rsidRPr="004474CB">
        <w:rPr>
          <w:rFonts w:ascii="Arial" w:hAnsi="Arial" w:cs="Arial"/>
        </w:rPr>
        <w:t xml:space="preserve"> LVS with ectopic expression of bS21-2 (LVS pF-bS21-2-V). </w:t>
      </w:r>
      <w:r w:rsidRPr="004474CB">
        <w:rPr>
          <w:rFonts w:ascii="Arial" w:hAnsi="Arial" w:cs="Arial"/>
          <w:b/>
          <w:bCs/>
        </w:rPr>
        <w:t>D.</w:t>
      </w:r>
      <w:r w:rsidRPr="004474CB">
        <w:rPr>
          <w:rFonts w:ascii="Arial" w:hAnsi="Arial" w:cs="Arial"/>
        </w:rPr>
        <w:t xml:space="preserve"> Cells from wild-type </w:t>
      </w:r>
      <w:r w:rsidRPr="004474CB">
        <w:rPr>
          <w:rFonts w:ascii="Arial" w:hAnsi="Arial" w:cs="Arial"/>
          <w:i/>
          <w:iCs/>
        </w:rPr>
        <w:t>F. tularensis</w:t>
      </w:r>
      <w:r w:rsidRPr="004474CB">
        <w:rPr>
          <w:rFonts w:ascii="Arial" w:hAnsi="Arial" w:cs="Arial"/>
        </w:rPr>
        <w:t xml:space="preserve"> LVS with ectopic expression of bS21-3 (LVS pF-bS21-3-V).</w:t>
      </w:r>
      <w:r w:rsidR="00F935EC" w:rsidRPr="004474CB">
        <w:rPr>
          <w:rFonts w:ascii="Arial" w:hAnsi="Arial" w:cs="Arial"/>
        </w:rPr>
        <w:br w:type="page"/>
      </w:r>
    </w:p>
    <w:p w14:paraId="0B3A018E" w14:textId="77777777" w:rsidR="00865368" w:rsidRPr="004474CB" w:rsidRDefault="00865368" w:rsidP="004474CB">
      <w:pPr>
        <w:spacing w:line="360" w:lineRule="auto"/>
        <w:jc w:val="both"/>
        <w:rPr>
          <w:rFonts w:ascii="Arial" w:hAnsi="Arial" w:cs="Arial"/>
        </w:rPr>
      </w:pPr>
    </w:p>
    <w:p w14:paraId="16B0AAC5" w14:textId="1C35D413" w:rsidR="00865368" w:rsidRPr="004474CB" w:rsidRDefault="005C6C36" w:rsidP="004474CB">
      <w:pPr>
        <w:spacing w:line="360" w:lineRule="auto"/>
        <w:jc w:val="both"/>
        <w:rPr>
          <w:rFonts w:ascii="Arial" w:hAnsi="Arial" w:cs="Arial"/>
          <w:b/>
          <w:bCs/>
        </w:rPr>
      </w:pPr>
      <w:r w:rsidRPr="004474CB">
        <w:rPr>
          <w:rFonts w:ascii="Arial" w:hAnsi="Arial" w:cs="Arial"/>
          <w:b/>
          <w:bCs/>
          <w:noProof/>
        </w:rPr>
        <w:drawing>
          <wp:inline distT="0" distB="0" distL="0" distR="0" wp14:anchorId="58159B64" wp14:editId="2200E9A3">
            <wp:extent cx="5700932" cy="25438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46"/>
                    <a:stretch/>
                  </pic:blipFill>
                  <pic:spPr bwMode="auto">
                    <a:xfrm>
                      <a:off x="0" y="0"/>
                      <a:ext cx="5700932" cy="2543810"/>
                    </a:xfrm>
                    <a:prstGeom prst="rect">
                      <a:avLst/>
                    </a:prstGeom>
                    <a:ln>
                      <a:noFill/>
                    </a:ln>
                    <a:extLst>
                      <a:ext uri="{53640926-AAD7-44D8-BBD7-CCE9431645EC}">
                        <a14:shadowObscured xmlns:a14="http://schemas.microsoft.com/office/drawing/2010/main"/>
                      </a:ext>
                    </a:extLst>
                  </pic:spPr>
                </pic:pic>
              </a:graphicData>
            </a:graphic>
          </wp:inline>
        </w:drawing>
      </w:r>
    </w:p>
    <w:p w14:paraId="1293F55A" w14:textId="77777777" w:rsidR="00865368" w:rsidRPr="004474CB" w:rsidRDefault="00865368" w:rsidP="00E820A7">
      <w:pPr>
        <w:jc w:val="both"/>
        <w:rPr>
          <w:rFonts w:ascii="Arial" w:hAnsi="Arial" w:cs="Arial"/>
        </w:rPr>
      </w:pPr>
      <w:r w:rsidRPr="004474CB">
        <w:rPr>
          <w:rFonts w:ascii="Arial" w:hAnsi="Arial" w:cs="Arial"/>
          <w:b/>
          <w:bCs/>
        </w:rPr>
        <w:t>Figure S4. Loss of bS21-2 does not affect transcript abundance of FPI-encoded genes.</w:t>
      </w:r>
      <w:r w:rsidRPr="004474CB">
        <w:rPr>
          <w:rFonts w:ascii="Arial" w:hAnsi="Arial" w:cs="Arial"/>
        </w:rPr>
        <w:t xml:space="preserve"> Quantitative real-time PCR was used to determine the relative transcript abundance for indicated FPI genes in wild-type cells, cells lacking bS21-2 (∆</w:t>
      </w:r>
      <w:r w:rsidRPr="004474CB">
        <w:rPr>
          <w:rFonts w:ascii="Arial" w:hAnsi="Arial" w:cs="Arial"/>
          <w:i/>
          <w:iCs/>
        </w:rPr>
        <w:t>rpsU2</w:t>
      </w:r>
      <w:r w:rsidRPr="004474CB">
        <w:rPr>
          <w:rFonts w:ascii="Arial" w:hAnsi="Arial" w:cs="Arial"/>
        </w:rPr>
        <w:t>), or cells lacking the transcription factor PigR (∆</w:t>
      </w:r>
      <w:r w:rsidRPr="004474CB">
        <w:rPr>
          <w:rFonts w:ascii="Arial" w:hAnsi="Arial" w:cs="Arial"/>
          <w:i/>
          <w:iCs/>
        </w:rPr>
        <w:t>pigR</w:t>
      </w:r>
      <w:r w:rsidRPr="004474CB">
        <w:rPr>
          <w:rFonts w:ascii="Arial" w:hAnsi="Arial" w:cs="Arial"/>
        </w:rPr>
        <w:t xml:space="preserve">). Cells lacking PigR serve as a positive control, as PigR positively regulates its own transcription and the transcription of </w:t>
      </w:r>
      <w:r w:rsidRPr="004474CB">
        <w:rPr>
          <w:rFonts w:ascii="Arial" w:hAnsi="Arial" w:cs="Arial"/>
          <w:i/>
          <w:iCs/>
        </w:rPr>
        <w:t>pdpA</w:t>
      </w:r>
      <w:r w:rsidRPr="004474CB">
        <w:rPr>
          <w:rFonts w:ascii="Arial" w:hAnsi="Arial" w:cs="Arial"/>
        </w:rPr>
        <w:t xml:space="preserve">, </w:t>
      </w:r>
      <w:r w:rsidRPr="004474CB">
        <w:rPr>
          <w:rFonts w:ascii="Arial" w:hAnsi="Arial" w:cs="Arial"/>
          <w:i/>
          <w:iCs/>
        </w:rPr>
        <w:t>pdpB</w:t>
      </w:r>
      <w:r w:rsidRPr="004474CB">
        <w:rPr>
          <w:rFonts w:ascii="Arial" w:hAnsi="Arial" w:cs="Arial"/>
        </w:rPr>
        <w:t xml:space="preserve">, and </w:t>
      </w:r>
      <w:r w:rsidRPr="004474CB">
        <w:rPr>
          <w:rFonts w:ascii="Arial" w:hAnsi="Arial" w:cs="Arial"/>
          <w:i/>
          <w:iCs/>
        </w:rPr>
        <w:t>iglA</w:t>
      </w:r>
      <w:r w:rsidRPr="004474CB">
        <w:rPr>
          <w:rFonts w:ascii="Arial" w:hAnsi="Arial" w:cs="Arial"/>
        </w:rPr>
        <w:t xml:space="preserve">. The </w:t>
      </w:r>
      <w:r w:rsidRPr="004474CB">
        <w:rPr>
          <w:rFonts w:ascii="Arial" w:hAnsi="Arial" w:cs="Arial"/>
          <w:i/>
          <w:iCs/>
        </w:rPr>
        <w:t>rpoA1</w:t>
      </w:r>
      <w:r w:rsidRPr="004474CB">
        <w:rPr>
          <w:rFonts w:ascii="Arial" w:hAnsi="Arial" w:cs="Arial"/>
        </w:rPr>
        <w:t xml:space="preserve"> and </w:t>
      </w:r>
      <w:r w:rsidRPr="004474CB">
        <w:rPr>
          <w:rFonts w:ascii="Arial" w:hAnsi="Arial" w:cs="Arial"/>
          <w:i/>
          <w:iCs/>
        </w:rPr>
        <w:t>bfr</w:t>
      </w:r>
      <w:r w:rsidRPr="004474CB">
        <w:rPr>
          <w:rFonts w:ascii="Arial" w:hAnsi="Arial" w:cs="Arial"/>
        </w:rPr>
        <w:t xml:space="preserve"> genes are included as negative controls, as their expression is not influenced by bS21-2 or PigR. Transcript abundances are normalized to </w:t>
      </w:r>
      <w:r w:rsidRPr="004474CB">
        <w:rPr>
          <w:rFonts w:ascii="Arial" w:hAnsi="Arial" w:cs="Arial"/>
          <w:i/>
          <w:iCs/>
        </w:rPr>
        <w:t>tul4</w:t>
      </w:r>
      <w:r w:rsidRPr="004474CB">
        <w:rPr>
          <w:rFonts w:ascii="Arial" w:hAnsi="Arial" w:cs="Arial"/>
        </w:rPr>
        <w:t xml:space="preserve">, whose expression is not influenced by bS21-2 or PigR. Error bars represent 1 SD from the value (calculated using the mean threshold cycle). ns: not significant. ND: not detected *adjusted </w:t>
      </w:r>
      <w:r w:rsidRPr="004474CB">
        <w:rPr>
          <w:rFonts w:ascii="Arial" w:hAnsi="Arial" w:cs="Arial"/>
          <w:i/>
          <w:iCs/>
        </w:rPr>
        <w:t>p</w:t>
      </w:r>
      <w:r w:rsidRPr="004474CB">
        <w:rPr>
          <w:rFonts w:ascii="Arial" w:hAnsi="Arial" w:cs="Arial"/>
        </w:rPr>
        <w:t xml:space="preserve"> &lt; 0.05 by t-test with Bonferroni correction. </w:t>
      </w:r>
    </w:p>
    <w:p w14:paraId="5138307F" w14:textId="7B97D8B3" w:rsidR="00F935EC" w:rsidRPr="004474CB" w:rsidRDefault="00F935EC" w:rsidP="004474CB">
      <w:pPr>
        <w:jc w:val="both"/>
        <w:rPr>
          <w:rFonts w:ascii="Arial" w:hAnsi="Arial" w:cs="Arial"/>
        </w:rPr>
      </w:pPr>
      <w:r w:rsidRPr="004474CB">
        <w:rPr>
          <w:rFonts w:ascii="Arial" w:hAnsi="Arial" w:cs="Arial"/>
        </w:rPr>
        <w:br w:type="page"/>
      </w:r>
    </w:p>
    <w:p w14:paraId="0B6148FC" w14:textId="0C2F06C7" w:rsidR="00865368" w:rsidRPr="004474CB" w:rsidRDefault="005C6C36" w:rsidP="004474CB">
      <w:pPr>
        <w:spacing w:line="360" w:lineRule="auto"/>
        <w:jc w:val="both"/>
        <w:rPr>
          <w:rFonts w:ascii="Arial" w:hAnsi="Arial" w:cs="Arial"/>
        </w:rPr>
      </w:pPr>
      <w:r w:rsidRPr="004474CB">
        <w:rPr>
          <w:rFonts w:ascii="Arial" w:hAnsi="Arial" w:cs="Arial"/>
          <w:noProof/>
        </w:rPr>
        <w:lastRenderedPageBreak/>
        <w:drawing>
          <wp:inline distT="0" distB="0" distL="0" distR="0" wp14:anchorId="0323B233" wp14:editId="592EC71A">
            <wp:extent cx="5715000" cy="3183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15000" cy="3183890"/>
                    </a:xfrm>
                    <a:prstGeom prst="rect">
                      <a:avLst/>
                    </a:prstGeom>
                  </pic:spPr>
                </pic:pic>
              </a:graphicData>
            </a:graphic>
          </wp:inline>
        </w:drawing>
      </w:r>
    </w:p>
    <w:p w14:paraId="73A957D1" w14:textId="77777777" w:rsidR="00865368" w:rsidRPr="004474CB" w:rsidRDefault="00865368" w:rsidP="00E820A7">
      <w:pPr>
        <w:jc w:val="both"/>
        <w:rPr>
          <w:rFonts w:ascii="Arial" w:hAnsi="Arial" w:cs="Arial"/>
        </w:rPr>
      </w:pPr>
      <w:r w:rsidRPr="004474CB">
        <w:rPr>
          <w:rFonts w:ascii="Arial" w:hAnsi="Arial" w:cs="Arial"/>
          <w:b/>
          <w:bCs/>
        </w:rPr>
        <w:t>Figure S5. Loss of bS21-2 does not affect protein degradation of PdpB.</w:t>
      </w:r>
      <w:r w:rsidRPr="004474CB">
        <w:rPr>
          <w:rFonts w:ascii="Arial" w:hAnsi="Arial" w:cs="Arial"/>
        </w:rPr>
        <w:t xml:space="preserve"> One-phase decay of PdpB from antibiotic-chase experiment from wild-type cells and cells lacking bS21-2 (Δ</w:t>
      </w:r>
      <w:r w:rsidRPr="004474CB">
        <w:rPr>
          <w:rFonts w:ascii="Arial" w:hAnsi="Arial" w:cs="Arial"/>
          <w:i/>
          <w:iCs/>
        </w:rPr>
        <w:t>rpsU2</w:t>
      </w:r>
      <w:r w:rsidRPr="004474CB">
        <w:rPr>
          <w:rFonts w:ascii="Arial" w:hAnsi="Arial" w:cs="Arial"/>
        </w:rPr>
        <w:t>). Neither strain showed significant degradation of PdpB through the time points assessed; the calculated half-life for both was greater than 120 minutes. Y-axis is logarithmic and error bars represent 1 SD from the mean.</w:t>
      </w:r>
    </w:p>
    <w:p w14:paraId="429AEB68" w14:textId="77777777" w:rsidR="00865368" w:rsidRPr="004474CB" w:rsidRDefault="00865368" w:rsidP="004474CB">
      <w:pPr>
        <w:spacing w:line="480" w:lineRule="auto"/>
        <w:jc w:val="both"/>
        <w:rPr>
          <w:rFonts w:ascii="Arial" w:hAnsi="Arial" w:cs="Arial"/>
        </w:rPr>
      </w:pPr>
    </w:p>
    <w:p w14:paraId="08864B20" w14:textId="2E39AC10" w:rsidR="00F935EC" w:rsidRPr="004474CB" w:rsidRDefault="00F935EC" w:rsidP="004474CB">
      <w:pPr>
        <w:jc w:val="both"/>
        <w:rPr>
          <w:rFonts w:ascii="Arial" w:hAnsi="Arial" w:cs="Arial"/>
          <w:color w:val="FF0000"/>
        </w:rPr>
      </w:pPr>
      <w:r w:rsidRPr="004474CB">
        <w:rPr>
          <w:rFonts w:ascii="Arial" w:hAnsi="Arial" w:cs="Arial"/>
          <w:color w:val="FF0000"/>
        </w:rPr>
        <w:br w:type="page"/>
      </w:r>
    </w:p>
    <w:p w14:paraId="758AA459" w14:textId="77777777" w:rsidR="00865368" w:rsidRPr="004474CB" w:rsidRDefault="00865368" w:rsidP="004474CB">
      <w:pPr>
        <w:spacing w:line="480" w:lineRule="auto"/>
        <w:jc w:val="both"/>
        <w:rPr>
          <w:rFonts w:ascii="Arial" w:hAnsi="Arial" w:cs="Arial"/>
          <w:color w:val="FF0000"/>
        </w:rPr>
      </w:pPr>
    </w:p>
    <w:p w14:paraId="6A2CD294" w14:textId="379F0994" w:rsidR="00E820A7" w:rsidRDefault="00E820A7" w:rsidP="004474CB">
      <w:pPr>
        <w:spacing w:line="480" w:lineRule="auto"/>
        <w:jc w:val="both"/>
        <w:rPr>
          <w:rFonts w:ascii="Arial" w:hAnsi="Arial" w:cs="Arial"/>
          <w:b/>
          <w:bCs/>
        </w:rPr>
      </w:pPr>
      <w:r>
        <w:rPr>
          <w:rFonts w:ascii="Arial" w:hAnsi="Arial" w:cs="Arial"/>
          <w:b/>
          <w:bCs/>
        </w:rPr>
        <w:t xml:space="preserve">Supplemental Tables S1, S2, and S3 can be found in Appendix 1 </w:t>
      </w:r>
    </w:p>
    <w:p w14:paraId="71310105" w14:textId="77777777" w:rsidR="00E820A7" w:rsidRDefault="00E820A7" w:rsidP="004474CB">
      <w:pPr>
        <w:spacing w:line="480" w:lineRule="auto"/>
        <w:jc w:val="both"/>
        <w:rPr>
          <w:rFonts w:ascii="Arial" w:hAnsi="Arial" w:cs="Arial"/>
          <w:b/>
          <w:bCs/>
        </w:rPr>
      </w:pPr>
    </w:p>
    <w:tbl>
      <w:tblPr>
        <w:tblW w:w="7783" w:type="dxa"/>
        <w:tblLook w:val="04A0" w:firstRow="1" w:lastRow="0" w:firstColumn="1" w:lastColumn="0" w:noHBand="0" w:noVBand="1"/>
      </w:tblPr>
      <w:tblGrid>
        <w:gridCol w:w="2546"/>
        <w:gridCol w:w="1500"/>
        <w:gridCol w:w="2031"/>
        <w:gridCol w:w="2097"/>
      </w:tblGrid>
      <w:tr w:rsidR="00E820A7" w:rsidRPr="005435EC" w14:paraId="6D52AD3B" w14:textId="77777777" w:rsidTr="00E820A7">
        <w:trPr>
          <w:trHeight w:val="1986"/>
        </w:trPr>
        <w:tc>
          <w:tcPr>
            <w:tcW w:w="7783" w:type="dxa"/>
            <w:gridSpan w:val="4"/>
            <w:tcBorders>
              <w:top w:val="nil"/>
              <w:left w:val="nil"/>
              <w:bottom w:val="nil"/>
              <w:right w:val="nil"/>
            </w:tcBorders>
            <w:shd w:val="clear" w:color="auto" w:fill="auto"/>
            <w:vAlign w:val="bottom"/>
            <w:hideMark/>
          </w:tcPr>
          <w:p w14:paraId="37CC1B2B" w14:textId="77777777" w:rsidR="00E820A7" w:rsidRDefault="00E820A7" w:rsidP="009314EC">
            <w:pPr>
              <w:rPr>
                <w:rFonts w:ascii="Arial" w:eastAsia="Times New Roman" w:hAnsi="Arial" w:cs="Arial"/>
                <w:color w:val="000000"/>
              </w:rPr>
            </w:pPr>
            <w:r w:rsidRPr="005435EC">
              <w:rPr>
                <w:rFonts w:ascii="Arial" w:eastAsia="Times New Roman" w:hAnsi="Arial" w:cs="Arial"/>
                <w:b/>
                <w:bCs/>
                <w:color w:val="000000"/>
              </w:rPr>
              <w:t>Table S4</w:t>
            </w:r>
            <w:r w:rsidRPr="005435EC">
              <w:rPr>
                <w:rFonts w:ascii="Arial" w:eastAsia="Times New Roman" w:hAnsi="Arial" w:cs="Arial"/>
                <w:color w:val="000000"/>
              </w:rPr>
              <w:t xml:space="preserve">. Comparison of </w:t>
            </w:r>
            <w:r w:rsidRPr="005435EC">
              <w:rPr>
                <w:rFonts w:ascii="Arial" w:eastAsia="Times New Roman" w:hAnsi="Arial" w:cs="Arial"/>
                <w:i/>
                <w:iCs/>
                <w:color w:val="000000"/>
              </w:rPr>
              <w:t>in vitro</w:t>
            </w:r>
            <w:r w:rsidRPr="005435EC">
              <w:rPr>
                <w:rFonts w:ascii="Arial" w:eastAsia="Times New Roman" w:hAnsi="Arial" w:cs="Arial"/>
                <w:color w:val="000000"/>
              </w:rPr>
              <w:t xml:space="preserve"> and intramacrophage growth rates for strains used in this study. </w:t>
            </w:r>
            <w:r w:rsidRPr="005435EC">
              <w:rPr>
                <w:rFonts w:ascii="Arial" w:eastAsia="Times New Roman" w:hAnsi="Arial" w:cs="Arial"/>
                <w:i/>
                <w:iCs/>
                <w:color w:val="000000"/>
              </w:rPr>
              <w:t>In vitro</w:t>
            </w:r>
            <w:r w:rsidRPr="005435EC">
              <w:rPr>
                <w:rFonts w:ascii="Arial" w:eastAsia="Times New Roman" w:hAnsi="Arial" w:cs="Arial"/>
                <w:color w:val="000000"/>
              </w:rPr>
              <w:t xml:space="preserve"> growth was assessed during early exponential phase by measuring OD600. </w:t>
            </w:r>
            <w:r w:rsidRPr="005435EC">
              <w:rPr>
                <w:rFonts w:ascii="Arial" w:eastAsia="Times New Roman" w:hAnsi="Arial" w:cs="Arial"/>
                <w:i/>
                <w:iCs/>
                <w:color w:val="000000"/>
              </w:rPr>
              <w:t>In vitro</w:t>
            </w:r>
            <w:r w:rsidRPr="005435EC">
              <w:rPr>
                <w:rFonts w:ascii="Arial" w:eastAsia="Times New Roman" w:hAnsi="Arial" w:cs="Arial"/>
                <w:color w:val="000000"/>
              </w:rPr>
              <w:t xml:space="preserve"> generation times for LVS pF, LVS ∆</w:t>
            </w:r>
            <w:r w:rsidRPr="005435EC">
              <w:rPr>
                <w:rFonts w:ascii="Arial" w:eastAsia="Times New Roman" w:hAnsi="Arial" w:cs="Arial"/>
                <w:i/>
                <w:iCs/>
                <w:color w:val="000000"/>
              </w:rPr>
              <w:t>rpsU2</w:t>
            </w:r>
            <w:r w:rsidRPr="005435EC">
              <w:rPr>
                <w:rFonts w:ascii="Arial" w:eastAsia="Times New Roman" w:hAnsi="Arial" w:cs="Arial"/>
                <w:color w:val="000000"/>
              </w:rPr>
              <w:t xml:space="preserve"> pF, and LVS ∆</w:t>
            </w:r>
            <w:r w:rsidRPr="005435EC">
              <w:rPr>
                <w:rFonts w:ascii="Arial" w:eastAsia="Times New Roman" w:hAnsi="Arial" w:cs="Arial"/>
                <w:i/>
                <w:iCs/>
                <w:color w:val="000000"/>
              </w:rPr>
              <w:t>rpsU2</w:t>
            </w:r>
            <w:r w:rsidRPr="005435EC">
              <w:rPr>
                <w:rFonts w:ascii="Arial" w:eastAsia="Times New Roman" w:hAnsi="Arial" w:cs="Arial"/>
                <w:color w:val="000000"/>
              </w:rPr>
              <w:t xml:space="preserve"> pF-bS21-2-V were calculated from three independent experiments, others were calculated from two. Generation times for intramacrophage growth are averages across three independent experiments and were determined by comparison of CFU recovered after 2 versus 24 hours. +/- values indicate SD.</w:t>
            </w:r>
          </w:p>
          <w:p w14:paraId="7A06AE1E" w14:textId="5BC53697" w:rsidR="00E820A7" w:rsidRPr="005435EC" w:rsidRDefault="00E820A7" w:rsidP="009314EC">
            <w:pPr>
              <w:rPr>
                <w:rFonts w:ascii="Arial" w:eastAsia="Times New Roman" w:hAnsi="Arial" w:cs="Arial"/>
                <w:color w:val="000000"/>
              </w:rPr>
            </w:pPr>
          </w:p>
        </w:tc>
      </w:tr>
      <w:tr w:rsidR="00E820A7" w:rsidRPr="005435EC" w14:paraId="04DE537B" w14:textId="77777777" w:rsidTr="00E820A7">
        <w:trPr>
          <w:trHeight w:val="307"/>
        </w:trPr>
        <w:tc>
          <w:tcPr>
            <w:tcW w:w="2546" w:type="dxa"/>
            <w:tcBorders>
              <w:top w:val="nil"/>
              <w:left w:val="nil"/>
              <w:bottom w:val="nil"/>
              <w:right w:val="nil"/>
            </w:tcBorders>
            <w:shd w:val="clear" w:color="auto" w:fill="auto"/>
            <w:noWrap/>
            <w:vAlign w:val="bottom"/>
            <w:hideMark/>
          </w:tcPr>
          <w:p w14:paraId="17CCA5D9" w14:textId="77777777" w:rsidR="00E820A7" w:rsidRPr="005435EC" w:rsidRDefault="00E820A7" w:rsidP="009314EC">
            <w:pPr>
              <w:rPr>
                <w:rFonts w:ascii="Arial" w:eastAsia="Times New Roman" w:hAnsi="Arial" w:cs="Arial"/>
                <w:color w:val="000000"/>
              </w:rPr>
            </w:pPr>
          </w:p>
        </w:tc>
        <w:tc>
          <w:tcPr>
            <w:tcW w:w="343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1034196"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Growth environment</w:t>
            </w:r>
          </w:p>
        </w:tc>
        <w:tc>
          <w:tcPr>
            <w:tcW w:w="179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14F7E379"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 xml:space="preserve">Generation time difference (intramacrophage - </w:t>
            </w:r>
            <w:r w:rsidRPr="005435EC">
              <w:rPr>
                <w:rFonts w:ascii="Arial" w:eastAsia="Times New Roman" w:hAnsi="Arial" w:cs="Arial"/>
                <w:i/>
                <w:iCs/>
                <w:color w:val="000000"/>
              </w:rPr>
              <w:t>in vitro</w:t>
            </w:r>
            <w:r w:rsidRPr="005435EC">
              <w:rPr>
                <w:rFonts w:ascii="Arial" w:eastAsia="Times New Roman" w:hAnsi="Arial" w:cs="Arial"/>
                <w:color w:val="000000"/>
              </w:rPr>
              <w:t>)</w:t>
            </w:r>
          </w:p>
        </w:tc>
      </w:tr>
      <w:tr w:rsidR="00E820A7" w:rsidRPr="005435EC" w14:paraId="574E8CB6" w14:textId="77777777" w:rsidTr="00E820A7">
        <w:trPr>
          <w:trHeight w:val="307"/>
        </w:trPr>
        <w:tc>
          <w:tcPr>
            <w:tcW w:w="25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3543D6" w14:textId="77777777" w:rsidR="00E820A7" w:rsidRPr="005435EC" w:rsidRDefault="00E820A7" w:rsidP="009314EC">
            <w:pPr>
              <w:rPr>
                <w:rFonts w:ascii="Arial" w:eastAsia="Times New Roman" w:hAnsi="Arial" w:cs="Arial"/>
                <w:color w:val="000000"/>
              </w:rPr>
            </w:pPr>
            <w:r w:rsidRPr="005435EC">
              <w:rPr>
                <w:rFonts w:ascii="Arial" w:eastAsia="Times New Roman" w:hAnsi="Arial" w:cs="Arial"/>
                <w:color w:val="000000"/>
              </w:rPr>
              <w:t>Cells</w:t>
            </w:r>
          </w:p>
        </w:tc>
        <w:tc>
          <w:tcPr>
            <w:tcW w:w="1500" w:type="dxa"/>
            <w:tcBorders>
              <w:top w:val="nil"/>
              <w:left w:val="nil"/>
              <w:bottom w:val="single" w:sz="4" w:space="0" w:color="auto"/>
              <w:right w:val="single" w:sz="4" w:space="0" w:color="auto"/>
            </w:tcBorders>
            <w:shd w:val="clear" w:color="auto" w:fill="auto"/>
            <w:vAlign w:val="bottom"/>
            <w:hideMark/>
          </w:tcPr>
          <w:p w14:paraId="767864BF" w14:textId="77777777" w:rsidR="00E820A7" w:rsidRPr="005435EC" w:rsidRDefault="00E820A7" w:rsidP="009314EC">
            <w:pPr>
              <w:jc w:val="center"/>
              <w:rPr>
                <w:rFonts w:ascii="Arial" w:eastAsia="Times New Roman" w:hAnsi="Arial" w:cs="Arial"/>
                <w:i/>
                <w:iCs/>
                <w:color w:val="000000"/>
              </w:rPr>
            </w:pPr>
            <w:r w:rsidRPr="005435EC">
              <w:rPr>
                <w:rFonts w:ascii="Arial" w:eastAsia="Times New Roman" w:hAnsi="Arial" w:cs="Arial"/>
                <w:i/>
                <w:iCs/>
                <w:color w:val="000000"/>
              </w:rPr>
              <w:t>in vitro</w:t>
            </w:r>
          </w:p>
        </w:tc>
        <w:tc>
          <w:tcPr>
            <w:tcW w:w="1938" w:type="dxa"/>
            <w:tcBorders>
              <w:top w:val="nil"/>
              <w:left w:val="nil"/>
              <w:bottom w:val="single" w:sz="4" w:space="0" w:color="auto"/>
              <w:right w:val="single" w:sz="4" w:space="0" w:color="auto"/>
            </w:tcBorders>
            <w:shd w:val="clear" w:color="auto" w:fill="auto"/>
            <w:vAlign w:val="bottom"/>
            <w:hideMark/>
          </w:tcPr>
          <w:p w14:paraId="03BDE4D5"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Intramacrophage</w:t>
            </w:r>
          </w:p>
        </w:tc>
        <w:tc>
          <w:tcPr>
            <w:tcW w:w="1798" w:type="dxa"/>
            <w:vMerge/>
            <w:tcBorders>
              <w:top w:val="single" w:sz="4" w:space="0" w:color="auto"/>
              <w:left w:val="single" w:sz="4" w:space="0" w:color="auto"/>
              <w:bottom w:val="single" w:sz="4" w:space="0" w:color="000000"/>
              <w:right w:val="single" w:sz="4" w:space="0" w:color="auto"/>
            </w:tcBorders>
            <w:vAlign w:val="center"/>
            <w:hideMark/>
          </w:tcPr>
          <w:p w14:paraId="27007328" w14:textId="77777777" w:rsidR="00E820A7" w:rsidRPr="005435EC" w:rsidRDefault="00E820A7" w:rsidP="009314EC">
            <w:pPr>
              <w:rPr>
                <w:rFonts w:ascii="Arial" w:eastAsia="Times New Roman" w:hAnsi="Arial" w:cs="Arial"/>
                <w:color w:val="000000"/>
              </w:rPr>
            </w:pPr>
          </w:p>
        </w:tc>
      </w:tr>
      <w:tr w:rsidR="00E820A7" w:rsidRPr="005435EC" w14:paraId="744D101E" w14:textId="77777777" w:rsidTr="00E820A7">
        <w:trPr>
          <w:trHeight w:val="307"/>
        </w:trPr>
        <w:tc>
          <w:tcPr>
            <w:tcW w:w="2546" w:type="dxa"/>
            <w:tcBorders>
              <w:top w:val="nil"/>
              <w:left w:val="single" w:sz="4" w:space="0" w:color="auto"/>
              <w:bottom w:val="single" w:sz="4" w:space="0" w:color="auto"/>
              <w:right w:val="single" w:sz="4" w:space="0" w:color="auto"/>
            </w:tcBorders>
            <w:shd w:val="clear" w:color="auto" w:fill="auto"/>
            <w:noWrap/>
            <w:vAlign w:val="bottom"/>
            <w:hideMark/>
          </w:tcPr>
          <w:p w14:paraId="7B791162" w14:textId="77777777" w:rsidR="00E820A7" w:rsidRPr="005435EC" w:rsidRDefault="00E820A7" w:rsidP="009314EC">
            <w:pPr>
              <w:rPr>
                <w:rFonts w:ascii="Arial" w:eastAsia="Times New Roman" w:hAnsi="Arial" w:cs="Arial"/>
                <w:color w:val="000000"/>
              </w:rPr>
            </w:pPr>
            <w:r w:rsidRPr="005435EC">
              <w:rPr>
                <w:rFonts w:ascii="Arial" w:eastAsia="Times New Roman" w:hAnsi="Arial" w:cs="Arial"/>
                <w:color w:val="000000"/>
              </w:rPr>
              <w:t>LVS pF</w:t>
            </w:r>
          </w:p>
        </w:tc>
        <w:tc>
          <w:tcPr>
            <w:tcW w:w="1500" w:type="dxa"/>
            <w:tcBorders>
              <w:top w:val="nil"/>
              <w:left w:val="nil"/>
              <w:bottom w:val="single" w:sz="4" w:space="0" w:color="auto"/>
              <w:right w:val="single" w:sz="4" w:space="0" w:color="auto"/>
            </w:tcBorders>
            <w:shd w:val="clear" w:color="auto" w:fill="auto"/>
            <w:noWrap/>
            <w:vAlign w:val="bottom"/>
            <w:hideMark/>
          </w:tcPr>
          <w:p w14:paraId="6E9CD2B0"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135.1 +/- 4.7</w:t>
            </w:r>
          </w:p>
        </w:tc>
        <w:tc>
          <w:tcPr>
            <w:tcW w:w="1938" w:type="dxa"/>
            <w:tcBorders>
              <w:top w:val="nil"/>
              <w:left w:val="nil"/>
              <w:bottom w:val="single" w:sz="4" w:space="0" w:color="auto"/>
              <w:right w:val="single" w:sz="4" w:space="0" w:color="auto"/>
            </w:tcBorders>
            <w:shd w:val="clear" w:color="auto" w:fill="auto"/>
            <w:noWrap/>
            <w:vAlign w:val="bottom"/>
            <w:hideMark/>
          </w:tcPr>
          <w:p w14:paraId="114B8DF8"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144.8 +/-  7.1</w:t>
            </w:r>
          </w:p>
        </w:tc>
        <w:tc>
          <w:tcPr>
            <w:tcW w:w="1798" w:type="dxa"/>
            <w:tcBorders>
              <w:top w:val="nil"/>
              <w:left w:val="nil"/>
              <w:bottom w:val="single" w:sz="4" w:space="0" w:color="auto"/>
              <w:right w:val="single" w:sz="4" w:space="0" w:color="auto"/>
            </w:tcBorders>
            <w:shd w:val="clear" w:color="auto" w:fill="auto"/>
            <w:noWrap/>
            <w:vAlign w:val="bottom"/>
            <w:hideMark/>
          </w:tcPr>
          <w:p w14:paraId="1A922974" w14:textId="77777777" w:rsidR="00E820A7" w:rsidRPr="005435EC" w:rsidRDefault="00E820A7" w:rsidP="009314EC">
            <w:pPr>
              <w:jc w:val="right"/>
              <w:rPr>
                <w:rFonts w:ascii="Arial" w:eastAsia="Times New Roman" w:hAnsi="Arial" w:cs="Arial"/>
                <w:color w:val="000000"/>
              </w:rPr>
            </w:pPr>
            <w:r w:rsidRPr="005435EC">
              <w:rPr>
                <w:rFonts w:ascii="Arial" w:eastAsia="Times New Roman" w:hAnsi="Arial" w:cs="Arial"/>
                <w:color w:val="000000"/>
              </w:rPr>
              <w:t>9.7</w:t>
            </w:r>
          </w:p>
        </w:tc>
      </w:tr>
      <w:tr w:rsidR="00E820A7" w:rsidRPr="005435EC" w14:paraId="340153A1" w14:textId="77777777" w:rsidTr="00E820A7">
        <w:trPr>
          <w:trHeight w:val="307"/>
        </w:trPr>
        <w:tc>
          <w:tcPr>
            <w:tcW w:w="2546" w:type="dxa"/>
            <w:tcBorders>
              <w:top w:val="nil"/>
              <w:left w:val="single" w:sz="4" w:space="0" w:color="auto"/>
              <w:bottom w:val="single" w:sz="4" w:space="0" w:color="auto"/>
              <w:right w:val="single" w:sz="4" w:space="0" w:color="auto"/>
            </w:tcBorders>
            <w:shd w:val="clear" w:color="auto" w:fill="auto"/>
            <w:noWrap/>
            <w:vAlign w:val="bottom"/>
            <w:hideMark/>
          </w:tcPr>
          <w:p w14:paraId="4B704BF4" w14:textId="77777777" w:rsidR="00E820A7" w:rsidRPr="005435EC" w:rsidRDefault="00E820A7" w:rsidP="009314EC">
            <w:pPr>
              <w:rPr>
                <w:rFonts w:ascii="Arial" w:eastAsia="Times New Roman" w:hAnsi="Arial" w:cs="Arial"/>
                <w:color w:val="000000"/>
              </w:rPr>
            </w:pPr>
            <w:r w:rsidRPr="005435EC">
              <w:rPr>
                <w:rFonts w:ascii="Arial" w:eastAsia="Times New Roman" w:hAnsi="Arial" w:cs="Arial"/>
                <w:color w:val="000000"/>
              </w:rPr>
              <w:t>LVS ∆</w:t>
            </w:r>
            <w:r w:rsidRPr="005435EC">
              <w:rPr>
                <w:rFonts w:ascii="Arial" w:eastAsia="Times New Roman" w:hAnsi="Arial" w:cs="Arial"/>
                <w:i/>
                <w:iCs/>
                <w:color w:val="000000"/>
              </w:rPr>
              <w:t>rpsU2</w:t>
            </w:r>
            <w:r w:rsidRPr="005435EC">
              <w:rPr>
                <w:rFonts w:ascii="Arial" w:eastAsia="Times New Roman" w:hAnsi="Arial" w:cs="Arial"/>
                <w:color w:val="000000"/>
              </w:rPr>
              <w:t xml:space="preserve"> pF</w:t>
            </w:r>
          </w:p>
        </w:tc>
        <w:tc>
          <w:tcPr>
            <w:tcW w:w="1500" w:type="dxa"/>
            <w:tcBorders>
              <w:top w:val="nil"/>
              <w:left w:val="nil"/>
              <w:bottom w:val="single" w:sz="4" w:space="0" w:color="auto"/>
              <w:right w:val="single" w:sz="4" w:space="0" w:color="auto"/>
            </w:tcBorders>
            <w:shd w:val="clear" w:color="auto" w:fill="auto"/>
            <w:noWrap/>
            <w:vAlign w:val="bottom"/>
            <w:hideMark/>
          </w:tcPr>
          <w:p w14:paraId="2E1EAFA0"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172.8 +/- 4.5</w:t>
            </w:r>
          </w:p>
        </w:tc>
        <w:tc>
          <w:tcPr>
            <w:tcW w:w="1938" w:type="dxa"/>
            <w:tcBorders>
              <w:top w:val="nil"/>
              <w:left w:val="nil"/>
              <w:bottom w:val="single" w:sz="4" w:space="0" w:color="auto"/>
              <w:right w:val="single" w:sz="4" w:space="0" w:color="auto"/>
            </w:tcBorders>
            <w:shd w:val="clear" w:color="auto" w:fill="auto"/>
            <w:noWrap/>
            <w:vAlign w:val="bottom"/>
            <w:hideMark/>
          </w:tcPr>
          <w:p w14:paraId="6A445AC0"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210.7 +/- 29.5</w:t>
            </w:r>
          </w:p>
        </w:tc>
        <w:tc>
          <w:tcPr>
            <w:tcW w:w="1798" w:type="dxa"/>
            <w:tcBorders>
              <w:top w:val="nil"/>
              <w:left w:val="nil"/>
              <w:bottom w:val="single" w:sz="4" w:space="0" w:color="auto"/>
              <w:right w:val="single" w:sz="4" w:space="0" w:color="auto"/>
            </w:tcBorders>
            <w:shd w:val="clear" w:color="auto" w:fill="auto"/>
            <w:noWrap/>
            <w:vAlign w:val="bottom"/>
            <w:hideMark/>
          </w:tcPr>
          <w:p w14:paraId="5B5A587B" w14:textId="77777777" w:rsidR="00E820A7" w:rsidRPr="005435EC" w:rsidRDefault="00E820A7" w:rsidP="009314EC">
            <w:pPr>
              <w:jc w:val="right"/>
              <w:rPr>
                <w:rFonts w:ascii="Arial" w:eastAsia="Times New Roman" w:hAnsi="Arial" w:cs="Arial"/>
                <w:color w:val="000000"/>
              </w:rPr>
            </w:pPr>
            <w:r w:rsidRPr="005435EC">
              <w:rPr>
                <w:rFonts w:ascii="Arial" w:eastAsia="Times New Roman" w:hAnsi="Arial" w:cs="Arial"/>
                <w:color w:val="000000"/>
              </w:rPr>
              <w:t>37.9</w:t>
            </w:r>
          </w:p>
        </w:tc>
      </w:tr>
      <w:tr w:rsidR="00E820A7" w:rsidRPr="005435EC" w14:paraId="6CD7BE33" w14:textId="77777777" w:rsidTr="00E820A7">
        <w:trPr>
          <w:trHeight w:val="307"/>
        </w:trPr>
        <w:tc>
          <w:tcPr>
            <w:tcW w:w="2546" w:type="dxa"/>
            <w:tcBorders>
              <w:top w:val="nil"/>
              <w:left w:val="single" w:sz="4" w:space="0" w:color="auto"/>
              <w:bottom w:val="single" w:sz="4" w:space="0" w:color="auto"/>
              <w:right w:val="single" w:sz="4" w:space="0" w:color="auto"/>
            </w:tcBorders>
            <w:shd w:val="clear" w:color="auto" w:fill="auto"/>
            <w:noWrap/>
            <w:vAlign w:val="bottom"/>
            <w:hideMark/>
          </w:tcPr>
          <w:p w14:paraId="31F22560" w14:textId="77777777" w:rsidR="00E820A7" w:rsidRPr="005435EC" w:rsidRDefault="00E820A7" w:rsidP="009314EC">
            <w:pPr>
              <w:rPr>
                <w:rFonts w:ascii="Arial" w:eastAsia="Times New Roman" w:hAnsi="Arial" w:cs="Arial"/>
                <w:color w:val="000000"/>
              </w:rPr>
            </w:pPr>
            <w:r w:rsidRPr="005435EC">
              <w:rPr>
                <w:rFonts w:ascii="Arial" w:eastAsia="Times New Roman" w:hAnsi="Arial" w:cs="Arial"/>
                <w:color w:val="000000"/>
              </w:rPr>
              <w:t>LVS ∆</w:t>
            </w:r>
            <w:r w:rsidRPr="005435EC">
              <w:rPr>
                <w:rFonts w:ascii="Arial" w:eastAsia="Times New Roman" w:hAnsi="Arial" w:cs="Arial"/>
                <w:i/>
                <w:iCs/>
                <w:color w:val="000000"/>
              </w:rPr>
              <w:t>rpsU2</w:t>
            </w:r>
            <w:r w:rsidRPr="005435EC">
              <w:rPr>
                <w:rFonts w:ascii="Arial" w:eastAsia="Times New Roman" w:hAnsi="Arial" w:cs="Arial"/>
                <w:color w:val="000000"/>
              </w:rPr>
              <w:t xml:space="preserve"> pF-bS21-1-V</w:t>
            </w:r>
          </w:p>
        </w:tc>
        <w:tc>
          <w:tcPr>
            <w:tcW w:w="1500" w:type="dxa"/>
            <w:tcBorders>
              <w:top w:val="nil"/>
              <w:left w:val="nil"/>
              <w:bottom w:val="single" w:sz="4" w:space="0" w:color="auto"/>
              <w:right w:val="single" w:sz="4" w:space="0" w:color="auto"/>
            </w:tcBorders>
            <w:shd w:val="clear" w:color="auto" w:fill="auto"/>
            <w:noWrap/>
            <w:vAlign w:val="bottom"/>
            <w:hideMark/>
          </w:tcPr>
          <w:p w14:paraId="31909E34"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145.1 +/- 3.9</w:t>
            </w:r>
          </w:p>
        </w:tc>
        <w:tc>
          <w:tcPr>
            <w:tcW w:w="1938" w:type="dxa"/>
            <w:tcBorders>
              <w:top w:val="nil"/>
              <w:left w:val="nil"/>
              <w:bottom w:val="single" w:sz="4" w:space="0" w:color="auto"/>
              <w:right w:val="single" w:sz="4" w:space="0" w:color="auto"/>
            </w:tcBorders>
            <w:shd w:val="clear" w:color="auto" w:fill="auto"/>
            <w:noWrap/>
            <w:vAlign w:val="bottom"/>
            <w:hideMark/>
          </w:tcPr>
          <w:p w14:paraId="141211ED"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179.3 +/-  8.2</w:t>
            </w:r>
          </w:p>
        </w:tc>
        <w:tc>
          <w:tcPr>
            <w:tcW w:w="1798" w:type="dxa"/>
            <w:tcBorders>
              <w:top w:val="nil"/>
              <w:left w:val="nil"/>
              <w:bottom w:val="single" w:sz="4" w:space="0" w:color="auto"/>
              <w:right w:val="single" w:sz="4" w:space="0" w:color="auto"/>
            </w:tcBorders>
            <w:shd w:val="clear" w:color="auto" w:fill="auto"/>
            <w:noWrap/>
            <w:vAlign w:val="bottom"/>
            <w:hideMark/>
          </w:tcPr>
          <w:p w14:paraId="14466D31" w14:textId="77777777" w:rsidR="00E820A7" w:rsidRPr="005435EC" w:rsidRDefault="00E820A7" w:rsidP="009314EC">
            <w:pPr>
              <w:jc w:val="right"/>
              <w:rPr>
                <w:rFonts w:ascii="Arial" w:eastAsia="Times New Roman" w:hAnsi="Arial" w:cs="Arial"/>
                <w:color w:val="000000"/>
              </w:rPr>
            </w:pPr>
            <w:r w:rsidRPr="005435EC">
              <w:rPr>
                <w:rFonts w:ascii="Arial" w:eastAsia="Times New Roman" w:hAnsi="Arial" w:cs="Arial"/>
                <w:color w:val="000000"/>
              </w:rPr>
              <w:t>34.2</w:t>
            </w:r>
          </w:p>
        </w:tc>
      </w:tr>
      <w:tr w:rsidR="00E820A7" w:rsidRPr="005435EC" w14:paraId="07215C1C" w14:textId="77777777" w:rsidTr="00E820A7">
        <w:trPr>
          <w:trHeight w:val="307"/>
        </w:trPr>
        <w:tc>
          <w:tcPr>
            <w:tcW w:w="2546" w:type="dxa"/>
            <w:tcBorders>
              <w:top w:val="nil"/>
              <w:left w:val="single" w:sz="4" w:space="0" w:color="auto"/>
              <w:bottom w:val="single" w:sz="4" w:space="0" w:color="auto"/>
              <w:right w:val="single" w:sz="4" w:space="0" w:color="auto"/>
            </w:tcBorders>
            <w:shd w:val="clear" w:color="auto" w:fill="auto"/>
            <w:noWrap/>
            <w:vAlign w:val="bottom"/>
            <w:hideMark/>
          </w:tcPr>
          <w:p w14:paraId="2BA89CB8" w14:textId="77777777" w:rsidR="00E820A7" w:rsidRPr="005435EC" w:rsidRDefault="00E820A7" w:rsidP="009314EC">
            <w:pPr>
              <w:rPr>
                <w:rFonts w:ascii="Arial" w:eastAsia="Times New Roman" w:hAnsi="Arial" w:cs="Arial"/>
                <w:color w:val="000000"/>
              </w:rPr>
            </w:pPr>
            <w:r w:rsidRPr="005435EC">
              <w:rPr>
                <w:rFonts w:ascii="Arial" w:eastAsia="Times New Roman" w:hAnsi="Arial" w:cs="Arial"/>
                <w:color w:val="000000"/>
              </w:rPr>
              <w:t>LVS ∆</w:t>
            </w:r>
            <w:r w:rsidRPr="005435EC">
              <w:rPr>
                <w:rFonts w:ascii="Arial" w:eastAsia="Times New Roman" w:hAnsi="Arial" w:cs="Arial"/>
                <w:i/>
                <w:iCs/>
                <w:color w:val="000000"/>
              </w:rPr>
              <w:t>rpsU2</w:t>
            </w:r>
            <w:r w:rsidRPr="005435EC">
              <w:rPr>
                <w:rFonts w:ascii="Arial" w:eastAsia="Times New Roman" w:hAnsi="Arial" w:cs="Arial"/>
                <w:color w:val="000000"/>
              </w:rPr>
              <w:t xml:space="preserve"> pF-bS21-2-V</w:t>
            </w:r>
          </w:p>
        </w:tc>
        <w:tc>
          <w:tcPr>
            <w:tcW w:w="1500" w:type="dxa"/>
            <w:tcBorders>
              <w:top w:val="nil"/>
              <w:left w:val="nil"/>
              <w:bottom w:val="single" w:sz="4" w:space="0" w:color="auto"/>
              <w:right w:val="single" w:sz="4" w:space="0" w:color="auto"/>
            </w:tcBorders>
            <w:shd w:val="clear" w:color="auto" w:fill="auto"/>
            <w:noWrap/>
            <w:vAlign w:val="bottom"/>
            <w:hideMark/>
          </w:tcPr>
          <w:p w14:paraId="7E9111C9"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150.6 +/- 1.9</w:t>
            </w:r>
          </w:p>
        </w:tc>
        <w:tc>
          <w:tcPr>
            <w:tcW w:w="1938" w:type="dxa"/>
            <w:tcBorders>
              <w:top w:val="nil"/>
              <w:left w:val="nil"/>
              <w:bottom w:val="single" w:sz="4" w:space="0" w:color="auto"/>
              <w:right w:val="single" w:sz="4" w:space="0" w:color="auto"/>
            </w:tcBorders>
            <w:shd w:val="clear" w:color="auto" w:fill="auto"/>
            <w:noWrap/>
            <w:vAlign w:val="bottom"/>
            <w:hideMark/>
          </w:tcPr>
          <w:p w14:paraId="1E644F25"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144.5 +/-  5.0</w:t>
            </w:r>
          </w:p>
        </w:tc>
        <w:tc>
          <w:tcPr>
            <w:tcW w:w="1798" w:type="dxa"/>
            <w:tcBorders>
              <w:top w:val="nil"/>
              <w:left w:val="nil"/>
              <w:bottom w:val="single" w:sz="4" w:space="0" w:color="auto"/>
              <w:right w:val="single" w:sz="4" w:space="0" w:color="auto"/>
            </w:tcBorders>
            <w:shd w:val="clear" w:color="auto" w:fill="auto"/>
            <w:noWrap/>
            <w:vAlign w:val="bottom"/>
            <w:hideMark/>
          </w:tcPr>
          <w:p w14:paraId="093D137D" w14:textId="77777777" w:rsidR="00E820A7" w:rsidRPr="005435EC" w:rsidRDefault="00E820A7" w:rsidP="009314EC">
            <w:pPr>
              <w:jc w:val="right"/>
              <w:rPr>
                <w:rFonts w:ascii="Arial" w:eastAsia="Times New Roman" w:hAnsi="Arial" w:cs="Arial"/>
                <w:color w:val="000000"/>
              </w:rPr>
            </w:pPr>
            <w:r w:rsidRPr="005435EC">
              <w:rPr>
                <w:rFonts w:ascii="Arial" w:eastAsia="Times New Roman" w:hAnsi="Arial" w:cs="Arial"/>
                <w:color w:val="000000"/>
              </w:rPr>
              <w:t>-6.1</w:t>
            </w:r>
          </w:p>
        </w:tc>
      </w:tr>
      <w:tr w:rsidR="00E820A7" w:rsidRPr="005435EC" w14:paraId="6EBCDD64" w14:textId="77777777" w:rsidTr="00E820A7">
        <w:trPr>
          <w:trHeight w:val="307"/>
        </w:trPr>
        <w:tc>
          <w:tcPr>
            <w:tcW w:w="2546" w:type="dxa"/>
            <w:tcBorders>
              <w:top w:val="nil"/>
              <w:left w:val="single" w:sz="4" w:space="0" w:color="auto"/>
              <w:bottom w:val="single" w:sz="4" w:space="0" w:color="auto"/>
              <w:right w:val="single" w:sz="4" w:space="0" w:color="auto"/>
            </w:tcBorders>
            <w:shd w:val="clear" w:color="auto" w:fill="auto"/>
            <w:noWrap/>
            <w:vAlign w:val="bottom"/>
            <w:hideMark/>
          </w:tcPr>
          <w:p w14:paraId="25D74C68" w14:textId="77777777" w:rsidR="00E820A7" w:rsidRPr="005435EC" w:rsidRDefault="00E820A7" w:rsidP="009314EC">
            <w:pPr>
              <w:rPr>
                <w:rFonts w:ascii="Arial" w:eastAsia="Times New Roman" w:hAnsi="Arial" w:cs="Arial"/>
                <w:color w:val="000000"/>
              </w:rPr>
            </w:pPr>
            <w:r w:rsidRPr="005435EC">
              <w:rPr>
                <w:rFonts w:ascii="Arial" w:eastAsia="Times New Roman" w:hAnsi="Arial" w:cs="Arial"/>
                <w:color w:val="000000"/>
              </w:rPr>
              <w:t>LVS ∆</w:t>
            </w:r>
            <w:r w:rsidRPr="005435EC">
              <w:rPr>
                <w:rFonts w:ascii="Arial" w:eastAsia="Times New Roman" w:hAnsi="Arial" w:cs="Arial"/>
                <w:i/>
                <w:iCs/>
                <w:color w:val="000000"/>
              </w:rPr>
              <w:t>rpsU2</w:t>
            </w:r>
            <w:r w:rsidRPr="005435EC">
              <w:rPr>
                <w:rFonts w:ascii="Arial" w:eastAsia="Times New Roman" w:hAnsi="Arial" w:cs="Arial"/>
                <w:color w:val="000000"/>
              </w:rPr>
              <w:t xml:space="preserve"> pF-bS21-2-V</w:t>
            </w:r>
          </w:p>
        </w:tc>
        <w:tc>
          <w:tcPr>
            <w:tcW w:w="1500" w:type="dxa"/>
            <w:tcBorders>
              <w:top w:val="nil"/>
              <w:left w:val="nil"/>
              <w:bottom w:val="single" w:sz="4" w:space="0" w:color="auto"/>
              <w:right w:val="single" w:sz="4" w:space="0" w:color="auto"/>
            </w:tcBorders>
            <w:shd w:val="clear" w:color="auto" w:fill="auto"/>
            <w:noWrap/>
            <w:vAlign w:val="bottom"/>
            <w:hideMark/>
          </w:tcPr>
          <w:p w14:paraId="4F9AE807"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181.2 +/- 7.6</w:t>
            </w:r>
          </w:p>
        </w:tc>
        <w:tc>
          <w:tcPr>
            <w:tcW w:w="1938" w:type="dxa"/>
            <w:tcBorders>
              <w:top w:val="nil"/>
              <w:left w:val="nil"/>
              <w:bottom w:val="single" w:sz="4" w:space="0" w:color="auto"/>
              <w:right w:val="single" w:sz="4" w:space="0" w:color="auto"/>
            </w:tcBorders>
            <w:shd w:val="clear" w:color="auto" w:fill="auto"/>
            <w:noWrap/>
            <w:vAlign w:val="bottom"/>
            <w:hideMark/>
          </w:tcPr>
          <w:p w14:paraId="04C441DE" w14:textId="77777777" w:rsidR="00E820A7" w:rsidRPr="005435EC" w:rsidRDefault="00E820A7" w:rsidP="009314EC">
            <w:pPr>
              <w:jc w:val="center"/>
              <w:rPr>
                <w:rFonts w:ascii="Arial" w:eastAsia="Times New Roman" w:hAnsi="Arial" w:cs="Arial"/>
                <w:color w:val="000000"/>
              </w:rPr>
            </w:pPr>
            <w:r w:rsidRPr="005435EC">
              <w:rPr>
                <w:rFonts w:ascii="Arial" w:eastAsia="Times New Roman" w:hAnsi="Arial" w:cs="Arial"/>
                <w:color w:val="000000"/>
              </w:rPr>
              <w:t>263.1 +/- 20.3</w:t>
            </w:r>
          </w:p>
        </w:tc>
        <w:tc>
          <w:tcPr>
            <w:tcW w:w="1798" w:type="dxa"/>
            <w:tcBorders>
              <w:top w:val="nil"/>
              <w:left w:val="nil"/>
              <w:bottom w:val="single" w:sz="4" w:space="0" w:color="auto"/>
              <w:right w:val="single" w:sz="4" w:space="0" w:color="auto"/>
            </w:tcBorders>
            <w:shd w:val="clear" w:color="auto" w:fill="auto"/>
            <w:noWrap/>
            <w:vAlign w:val="bottom"/>
            <w:hideMark/>
          </w:tcPr>
          <w:p w14:paraId="781F95A5" w14:textId="77777777" w:rsidR="00E820A7" w:rsidRPr="005435EC" w:rsidRDefault="00E820A7" w:rsidP="009314EC">
            <w:pPr>
              <w:jc w:val="right"/>
              <w:rPr>
                <w:rFonts w:ascii="Arial" w:eastAsia="Times New Roman" w:hAnsi="Arial" w:cs="Arial"/>
                <w:color w:val="000000"/>
              </w:rPr>
            </w:pPr>
            <w:r w:rsidRPr="005435EC">
              <w:rPr>
                <w:rFonts w:ascii="Arial" w:eastAsia="Times New Roman" w:hAnsi="Arial" w:cs="Arial"/>
                <w:color w:val="000000"/>
              </w:rPr>
              <w:t>81.9</w:t>
            </w:r>
          </w:p>
        </w:tc>
      </w:tr>
    </w:tbl>
    <w:p w14:paraId="5E86284F" w14:textId="77777777" w:rsidR="00E820A7" w:rsidRPr="005435EC" w:rsidRDefault="00E820A7" w:rsidP="00E820A7">
      <w:pPr>
        <w:rPr>
          <w:rFonts w:ascii="Arial" w:hAnsi="Arial" w:cs="Arial"/>
        </w:rPr>
      </w:pPr>
    </w:p>
    <w:p w14:paraId="094A14A5" w14:textId="77777777" w:rsidR="00E820A7" w:rsidRDefault="00E820A7" w:rsidP="004474CB">
      <w:pPr>
        <w:spacing w:line="480" w:lineRule="auto"/>
        <w:jc w:val="both"/>
        <w:rPr>
          <w:rFonts w:ascii="Arial" w:hAnsi="Arial" w:cs="Arial"/>
          <w:b/>
          <w:bCs/>
        </w:rPr>
      </w:pPr>
    </w:p>
    <w:p w14:paraId="22FCBE07" w14:textId="5DDC5EC7" w:rsidR="00865368" w:rsidRPr="004474CB" w:rsidRDefault="00865368" w:rsidP="004474CB">
      <w:pPr>
        <w:spacing w:line="480" w:lineRule="auto"/>
        <w:jc w:val="both"/>
        <w:rPr>
          <w:rFonts w:ascii="Arial" w:hAnsi="Arial" w:cs="Arial"/>
          <w:b/>
          <w:bCs/>
        </w:rPr>
      </w:pPr>
      <w:r w:rsidRPr="004474CB">
        <w:rPr>
          <w:rFonts w:ascii="Arial" w:hAnsi="Arial" w:cs="Arial"/>
          <w:b/>
          <w:bCs/>
        </w:rPr>
        <w:t>Supplemental References</w:t>
      </w:r>
    </w:p>
    <w:sdt>
      <w:sdtPr>
        <w:rPr>
          <w:rFonts w:ascii="Arial" w:eastAsiaTheme="minorEastAsia" w:hAnsi="Arial" w:cs="Arial"/>
        </w:rPr>
        <w:alias w:val="SmartCite Bibliography"/>
        <w:tag w:val="American Society for Microbiology+{&quot;language&quot;:&quot;en-US&quot;}"/>
        <w:id w:val="-1339146840"/>
        <w:placeholder>
          <w:docPart w:val="C1DCE7095AADAA4A8BD54DA532BDD0F5"/>
        </w:placeholder>
      </w:sdtPr>
      <w:sdtContent>
        <w:p w14:paraId="4FBE9766" w14:textId="0649095C" w:rsidR="00865368" w:rsidRPr="004474CB" w:rsidRDefault="00865368" w:rsidP="00E820A7">
          <w:pPr>
            <w:jc w:val="both"/>
            <w:rPr>
              <w:rFonts w:ascii="Arial" w:hAnsi="Arial" w:cs="Arial"/>
              <w:color w:val="000000"/>
            </w:rPr>
          </w:pPr>
          <w:r w:rsidRPr="004474CB">
            <w:rPr>
              <w:rFonts w:ascii="Arial" w:hAnsi="Arial" w:cs="Arial"/>
              <w:color w:val="000000"/>
            </w:rPr>
            <w:t xml:space="preserve">1. Lupski JR, Godson GN. 1984. The </w:t>
          </w:r>
          <w:r w:rsidRPr="004474CB">
            <w:rPr>
              <w:rFonts w:ascii="Arial" w:hAnsi="Arial" w:cs="Arial"/>
              <w:i/>
              <w:iCs/>
              <w:color w:val="000000"/>
            </w:rPr>
            <w:t>rpsU-dnaG-rpoD</w:t>
          </w:r>
          <w:r w:rsidRPr="004474CB">
            <w:rPr>
              <w:rFonts w:ascii="Arial" w:hAnsi="Arial" w:cs="Arial"/>
              <w:color w:val="000000"/>
            </w:rPr>
            <w:t xml:space="preserve"> macromolecular synthesis operon of </w:t>
          </w:r>
          <w:r w:rsidRPr="004474CB">
            <w:rPr>
              <w:rFonts w:ascii="Arial" w:hAnsi="Arial" w:cs="Arial"/>
              <w:i/>
              <w:iCs/>
              <w:color w:val="000000"/>
            </w:rPr>
            <w:t>E. coli</w:t>
          </w:r>
          <w:r w:rsidRPr="004474CB">
            <w:rPr>
              <w:rFonts w:ascii="Arial" w:hAnsi="Arial" w:cs="Arial"/>
              <w:color w:val="000000"/>
            </w:rPr>
            <w:t>. Cell 39:251–252.</w:t>
          </w:r>
        </w:p>
        <w:p w14:paraId="0C7B4208" w14:textId="3AF8B922" w:rsidR="003D58CA" w:rsidRPr="004474CB" w:rsidRDefault="00865368" w:rsidP="00E820A7">
          <w:pPr>
            <w:pStyle w:val="csl-entry"/>
            <w:jc w:val="both"/>
            <w:rPr>
              <w:rFonts w:ascii="Arial" w:hAnsi="Arial" w:cs="Arial"/>
            </w:rPr>
          </w:pPr>
          <w:r w:rsidRPr="004474CB">
            <w:rPr>
              <w:rFonts w:ascii="Arial" w:hAnsi="Arial" w:cs="Arial"/>
              <w:color w:val="000000"/>
            </w:rPr>
            <w:t>2. Madeira F, Pearce M, Tivey ARN, Basutkar P, Lee J, Edbali O, Madhusoodanan N, Kolesnikov A, Lopez R. 2022. Search and sequence analysis tools services from EMBL-EBI in 2022. Nucleic Acids Res 50:W276–W279.</w:t>
          </w:r>
          <w:r w:rsidRPr="004474CB">
            <w:rPr>
              <w:rFonts w:ascii="Arial" w:eastAsia="Times New Roman" w:hAnsi="Arial" w:cs="Arial"/>
              <w:color w:val="000000"/>
            </w:rPr>
            <w:t> </w:t>
          </w:r>
        </w:p>
      </w:sdtContent>
    </w:sdt>
    <w:sectPr w:rsidR="003D58CA" w:rsidRPr="004474CB" w:rsidSect="00F935EC">
      <w:pgSz w:w="12240" w:h="15840"/>
      <w:pgMar w:top="1440" w:right="108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yMzIxMDE0MTC2NLNU0lEKTi0uzszPAykwrgUAelpq6SwAAAA="/>
  </w:docVars>
  <w:rsids>
    <w:rsidRoot w:val="00865368"/>
    <w:rsid w:val="002A394F"/>
    <w:rsid w:val="003D58CA"/>
    <w:rsid w:val="004474CB"/>
    <w:rsid w:val="005C6C36"/>
    <w:rsid w:val="00810029"/>
    <w:rsid w:val="00865368"/>
    <w:rsid w:val="00B8558A"/>
    <w:rsid w:val="00E820A7"/>
    <w:rsid w:val="00F93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B1F86"/>
  <w15:chartTrackingRefBased/>
  <w15:docId w15:val="{552C6E63-2F04-D64D-B7CD-44FAA7BB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3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5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65368"/>
    <w:rPr>
      <w:rFonts w:ascii="Courier New" w:eastAsia="Times New Roman" w:hAnsi="Courier New" w:cs="Courier New"/>
      <w:sz w:val="20"/>
      <w:szCs w:val="20"/>
    </w:rPr>
  </w:style>
  <w:style w:type="paragraph" w:customStyle="1" w:styleId="csl-entry">
    <w:name w:val="csl-entry"/>
    <w:basedOn w:val="Normal"/>
    <w:rsid w:val="00865368"/>
    <w:pPr>
      <w:spacing w:before="100" w:beforeAutospacing="1" w:after="100" w:afterAutospacing="1"/>
    </w:pPr>
    <w:rPr>
      <w:rFonts w:ascii="Times New Roman" w:eastAsiaTheme="minorEastAsia" w:hAnsi="Times New Roman" w:cs="Times New Roman"/>
    </w:rPr>
  </w:style>
  <w:style w:type="character" w:styleId="LineNumber">
    <w:name w:val="line number"/>
    <w:basedOn w:val="DefaultParagraphFont"/>
    <w:uiPriority w:val="99"/>
    <w:semiHidden/>
    <w:unhideWhenUsed/>
    <w:rsid w:val="00865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glossaryDocument" Target="glossary/document.xml"/><Relationship Id="rId5" Type="http://schemas.openxmlformats.org/officeDocument/2006/relationships/hyperlink" Target="https://www.genome.jp/dbget-bin/www_bget?refseq+NC_000913"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1DCE7095AADAA4A8BD54DA532BDD0F5"/>
        <w:category>
          <w:name w:val="General"/>
          <w:gallery w:val="placeholder"/>
        </w:category>
        <w:types>
          <w:type w:val="bbPlcHdr"/>
        </w:types>
        <w:behaviors>
          <w:behavior w:val="content"/>
        </w:behaviors>
        <w:guid w:val="{4E1C506E-FEBE-9744-AFAC-CFF9DCD3C1DF}"/>
      </w:docPartPr>
      <w:docPartBody>
        <w:p w:rsidR="00785764" w:rsidRDefault="004234BE" w:rsidP="004234BE">
          <w:pPr>
            <w:pStyle w:val="C1DCE7095AADAA4A8BD54DA532BDD0F5"/>
          </w:pPr>
          <w:r w:rsidRPr="002D010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4BE"/>
    <w:rsid w:val="00292E20"/>
    <w:rsid w:val="00304DE4"/>
    <w:rsid w:val="003F7C47"/>
    <w:rsid w:val="004234BE"/>
    <w:rsid w:val="00785764"/>
    <w:rsid w:val="009B1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34BE"/>
    <w:rPr>
      <w:color w:val="808080"/>
    </w:rPr>
  </w:style>
  <w:style w:type="paragraph" w:customStyle="1" w:styleId="C1DCE7095AADAA4A8BD54DA532BDD0F5">
    <w:name w:val="C1DCE7095AADAA4A8BD54DA532BDD0F5"/>
    <w:rsid w:val="004234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737</Words>
  <Characters>4201</Characters>
  <Application>Microsoft Office Word</Application>
  <DocSecurity>0</DocSecurity>
  <Lines>35</Lines>
  <Paragraphs>9</Paragraphs>
  <ScaleCrop>false</ScaleCrop>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6</cp:revision>
  <dcterms:created xsi:type="dcterms:W3CDTF">2023-03-02T20:27:00Z</dcterms:created>
  <dcterms:modified xsi:type="dcterms:W3CDTF">2023-03-16T12:58:00Z</dcterms:modified>
</cp:coreProperties>
</file>